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EDD" w:rsidRPr="00C2111C" w:rsidRDefault="00907EDD" w:rsidP="00907EDD">
      <w:pPr>
        <w:pBdr>
          <w:top w:val="single" w:sz="4" w:space="1" w:color="auto"/>
          <w:left w:val="single" w:sz="4" w:space="4" w:color="auto"/>
          <w:bottom w:val="single" w:sz="4" w:space="1" w:color="auto"/>
          <w:right w:val="single" w:sz="4" w:space="4" w:color="auto"/>
        </w:pBdr>
        <w:ind w:right="18"/>
        <w:jc w:val="center"/>
        <w:rPr>
          <w:rFonts w:ascii="Times New Roman" w:hAnsi="Times New Roman"/>
          <w:b/>
          <w:sz w:val="44"/>
        </w:rPr>
      </w:pPr>
      <w:r w:rsidRPr="00C2111C">
        <w:rPr>
          <w:rFonts w:ascii="Times New Roman" w:hAnsi="Times New Roman"/>
          <w:b/>
          <w:sz w:val="44"/>
        </w:rPr>
        <w:t>KATI ATIK ve ÇEVRE</w:t>
      </w:r>
    </w:p>
    <w:p w:rsidR="00907EDD" w:rsidRDefault="00907EDD" w:rsidP="00907EDD">
      <w:pPr>
        <w:pBdr>
          <w:top w:val="single" w:sz="4" w:space="1" w:color="auto"/>
          <w:left w:val="single" w:sz="4" w:space="4" w:color="auto"/>
          <w:bottom w:val="single" w:sz="4" w:space="1" w:color="auto"/>
          <w:right w:val="single" w:sz="4" w:space="4" w:color="auto"/>
        </w:pBdr>
        <w:ind w:right="18"/>
        <w:jc w:val="center"/>
        <w:rPr>
          <w:rFonts w:ascii="Times New Roman" w:hAnsi="Times New Roman"/>
          <w:b/>
          <w:sz w:val="24"/>
        </w:rPr>
      </w:pPr>
      <w:r w:rsidRPr="00C2111C">
        <w:rPr>
          <w:rFonts w:ascii="Times New Roman" w:hAnsi="Times New Roman"/>
          <w:b/>
          <w:sz w:val="24"/>
        </w:rPr>
        <w:t>Sayı 84, Ekim 2011/Issue 84, October 2011</w:t>
      </w:r>
    </w:p>
    <w:p w:rsidR="00907EDD" w:rsidRDefault="00907EDD" w:rsidP="00907EDD">
      <w:pPr>
        <w:pBdr>
          <w:top w:val="single" w:sz="4" w:space="1" w:color="auto"/>
          <w:left w:val="single" w:sz="4" w:space="4" w:color="auto"/>
          <w:bottom w:val="single" w:sz="4" w:space="1" w:color="auto"/>
          <w:right w:val="single" w:sz="4" w:space="4" w:color="auto"/>
        </w:pBdr>
        <w:ind w:right="18"/>
        <w:jc w:val="center"/>
        <w:rPr>
          <w:rFonts w:ascii="Times New Roman" w:hAnsi="Times New Roman"/>
          <w:b/>
          <w:sz w:val="24"/>
        </w:rPr>
      </w:pPr>
      <w:r w:rsidRPr="00C2111C">
        <w:rPr>
          <w:rFonts w:ascii="Times New Roman" w:hAnsi="Times New Roman"/>
          <w:b/>
          <w:sz w:val="24"/>
        </w:rPr>
        <w:t>İÇİNDEKİLER/TABLE OF CONTENTS</w:t>
      </w:r>
    </w:p>
    <w:p w:rsidR="00907EDD" w:rsidRDefault="00907EDD" w:rsidP="00907EDD">
      <w:pPr>
        <w:pBdr>
          <w:top w:val="single" w:sz="4" w:space="1" w:color="auto"/>
          <w:left w:val="single" w:sz="4" w:space="4" w:color="auto"/>
          <w:bottom w:val="single" w:sz="4" w:space="1" w:color="auto"/>
          <w:right w:val="single" w:sz="4" w:space="4" w:color="auto"/>
        </w:pBdr>
        <w:spacing w:after="0" w:line="240" w:lineRule="auto"/>
        <w:ind w:right="18"/>
        <w:rPr>
          <w:rFonts w:ascii="Times New Roman" w:hAnsi="Times New Roman"/>
          <w:sz w:val="24"/>
          <w:szCs w:val="24"/>
        </w:rPr>
      </w:pPr>
    </w:p>
    <w:p w:rsidR="00907EDD" w:rsidRPr="00C2111C" w:rsidRDefault="00907EDD" w:rsidP="00907EDD">
      <w:pPr>
        <w:pBdr>
          <w:top w:val="single" w:sz="4" w:space="1" w:color="auto"/>
          <w:left w:val="single" w:sz="4" w:space="4" w:color="auto"/>
          <w:bottom w:val="single" w:sz="4" w:space="1" w:color="auto"/>
          <w:right w:val="single" w:sz="4" w:space="4" w:color="auto"/>
        </w:pBdr>
        <w:spacing w:after="0" w:line="240" w:lineRule="auto"/>
        <w:ind w:right="18"/>
        <w:rPr>
          <w:rFonts w:ascii="Times New Roman" w:hAnsi="Times New Roman"/>
          <w:sz w:val="24"/>
          <w:szCs w:val="24"/>
        </w:rPr>
      </w:pPr>
      <w:r w:rsidRPr="00C2111C">
        <w:rPr>
          <w:rFonts w:ascii="Times New Roman" w:hAnsi="Times New Roman"/>
          <w:sz w:val="24"/>
          <w:szCs w:val="24"/>
        </w:rPr>
        <w:t>Katı Atık Depolama Alanları Sızıntı Sularından Kaynaklanan Kirlilik Yükl</w:t>
      </w:r>
      <w:r>
        <w:rPr>
          <w:rFonts w:ascii="Times New Roman" w:hAnsi="Times New Roman"/>
          <w:sz w:val="24"/>
          <w:szCs w:val="24"/>
        </w:rPr>
        <w:t xml:space="preserve">erinin Tespiti, </w:t>
      </w:r>
      <w:r w:rsidRPr="00C2111C">
        <w:rPr>
          <w:rFonts w:ascii="Times New Roman" w:hAnsi="Times New Roman"/>
          <w:sz w:val="24"/>
          <w:szCs w:val="24"/>
        </w:rPr>
        <w:t>Örnek Çalışma: Burdur Havzası</w:t>
      </w:r>
    </w:p>
    <w:p w:rsidR="00907EDD" w:rsidRDefault="00907EDD" w:rsidP="00907EDD">
      <w:pPr>
        <w:pBdr>
          <w:top w:val="single" w:sz="4" w:space="1" w:color="auto"/>
          <w:left w:val="single" w:sz="4" w:space="4" w:color="auto"/>
          <w:bottom w:val="single" w:sz="4" w:space="1" w:color="auto"/>
          <w:right w:val="single" w:sz="4" w:space="4" w:color="auto"/>
        </w:pBdr>
        <w:spacing w:after="0" w:line="240" w:lineRule="auto"/>
        <w:ind w:right="18"/>
        <w:rPr>
          <w:rFonts w:ascii="Times New Roman" w:hAnsi="Times New Roman"/>
          <w:i/>
          <w:sz w:val="24"/>
          <w:szCs w:val="24"/>
        </w:rPr>
      </w:pPr>
      <w:r w:rsidRPr="00C2111C">
        <w:rPr>
          <w:rFonts w:ascii="Times New Roman" w:hAnsi="Times New Roman"/>
          <w:i/>
          <w:sz w:val="24"/>
          <w:szCs w:val="24"/>
        </w:rPr>
        <w:t>Selma Ayaz, Nail Erdoğan, B. Hande Gürsoy, Elif Atasoy, Cihangir Aydöner, İzzet Öztürk, Nermin Çiçek, Lütfi Akça</w:t>
      </w:r>
      <w:r w:rsidRPr="00E11635">
        <w:rPr>
          <w:rFonts w:ascii="Times New Roman" w:hAnsi="Times New Roman"/>
          <w:sz w:val="24"/>
          <w:szCs w:val="24"/>
        </w:rPr>
        <w:t>…………………</w:t>
      </w:r>
      <w:r w:rsidR="00E11635">
        <w:rPr>
          <w:rFonts w:ascii="Times New Roman" w:hAnsi="Times New Roman"/>
          <w:sz w:val="24"/>
          <w:szCs w:val="24"/>
        </w:rPr>
        <w:t>..</w:t>
      </w:r>
      <w:r w:rsidRPr="00E11635">
        <w:rPr>
          <w:rFonts w:ascii="Times New Roman" w:hAnsi="Times New Roman"/>
          <w:sz w:val="24"/>
          <w:szCs w:val="24"/>
        </w:rPr>
        <w:t>……</w:t>
      </w:r>
      <w:r w:rsidR="00CC3EED" w:rsidRPr="00E11635">
        <w:rPr>
          <w:rFonts w:ascii="Times New Roman" w:hAnsi="Times New Roman"/>
          <w:sz w:val="24"/>
          <w:szCs w:val="24"/>
        </w:rPr>
        <w:t>………</w:t>
      </w:r>
      <w:r w:rsidRPr="00E11635">
        <w:rPr>
          <w:rFonts w:ascii="Times New Roman" w:hAnsi="Times New Roman"/>
          <w:sz w:val="24"/>
          <w:szCs w:val="24"/>
        </w:rPr>
        <w:t>…3</w:t>
      </w:r>
    </w:p>
    <w:p w:rsidR="00907EDD" w:rsidRPr="00C2111C" w:rsidRDefault="00907EDD" w:rsidP="00907EDD">
      <w:pPr>
        <w:pBdr>
          <w:top w:val="single" w:sz="4" w:space="1" w:color="auto"/>
          <w:left w:val="single" w:sz="4" w:space="4" w:color="auto"/>
          <w:bottom w:val="single" w:sz="4" w:space="1" w:color="auto"/>
          <w:right w:val="single" w:sz="4" w:space="4" w:color="auto"/>
        </w:pBdr>
        <w:spacing w:after="0" w:line="240" w:lineRule="auto"/>
        <w:ind w:right="18"/>
        <w:rPr>
          <w:rFonts w:ascii="Times New Roman" w:hAnsi="Times New Roman"/>
          <w:i/>
          <w:sz w:val="24"/>
          <w:szCs w:val="24"/>
        </w:rPr>
      </w:pPr>
    </w:p>
    <w:p w:rsidR="00907EDD" w:rsidRPr="00C2111C" w:rsidRDefault="00907EDD" w:rsidP="00907EDD">
      <w:pPr>
        <w:pBdr>
          <w:top w:val="single" w:sz="4" w:space="1" w:color="auto"/>
          <w:left w:val="single" w:sz="4" w:space="4" w:color="auto"/>
          <w:bottom w:val="single" w:sz="4" w:space="1" w:color="auto"/>
          <w:right w:val="single" w:sz="4" w:space="4" w:color="auto"/>
        </w:pBdr>
        <w:spacing w:after="0" w:line="240" w:lineRule="auto"/>
        <w:ind w:right="18"/>
        <w:rPr>
          <w:rFonts w:ascii="Times New Roman" w:hAnsi="Times New Roman"/>
          <w:sz w:val="24"/>
          <w:szCs w:val="24"/>
        </w:rPr>
      </w:pPr>
      <w:r w:rsidRPr="00C2111C">
        <w:rPr>
          <w:rFonts w:ascii="Times New Roman" w:hAnsi="Times New Roman"/>
          <w:sz w:val="24"/>
          <w:szCs w:val="24"/>
        </w:rPr>
        <w:t xml:space="preserve">Düzenli Depolama Alanı Btex Emisyonlarının Yaz </w:t>
      </w:r>
      <w:r w:rsidR="004E1C26">
        <w:rPr>
          <w:rFonts w:ascii="Times New Roman" w:hAnsi="Times New Roman"/>
          <w:sz w:val="24"/>
          <w:szCs w:val="24"/>
        </w:rPr>
        <w:t>v</w:t>
      </w:r>
      <w:r w:rsidRPr="00C2111C">
        <w:rPr>
          <w:rFonts w:ascii="Times New Roman" w:hAnsi="Times New Roman"/>
          <w:sz w:val="24"/>
          <w:szCs w:val="24"/>
        </w:rPr>
        <w:t>e Kış Mevsimlerindeki Değişimlerinin Belirlenmesi</w:t>
      </w:r>
    </w:p>
    <w:p w:rsidR="00907EDD" w:rsidRDefault="00907EDD" w:rsidP="00907EDD">
      <w:pPr>
        <w:pBdr>
          <w:top w:val="single" w:sz="4" w:space="1" w:color="auto"/>
          <w:left w:val="single" w:sz="4" w:space="4" w:color="auto"/>
          <w:bottom w:val="single" w:sz="4" w:space="1" w:color="auto"/>
          <w:right w:val="single" w:sz="4" w:space="4" w:color="auto"/>
        </w:pBdr>
        <w:spacing w:after="0" w:line="240" w:lineRule="auto"/>
        <w:ind w:right="18"/>
        <w:rPr>
          <w:rFonts w:ascii="Times New Roman" w:hAnsi="Times New Roman"/>
          <w:i/>
          <w:sz w:val="24"/>
          <w:szCs w:val="24"/>
        </w:rPr>
      </w:pPr>
      <w:r w:rsidRPr="00C2111C">
        <w:rPr>
          <w:rFonts w:ascii="Times New Roman" w:hAnsi="Times New Roman"/>
          <w:i/>
          <w:sz w:val="24"/>
          <w:szCs w:val="24"/>
        </w:rPr>
        <w:t>Fatih Taşpınar, E</w:t>
      </w:r>
      <w:r w:rsidR="001E1ECB">
        <w:rPr>
          <w:rFonts w:ascii="Times New Roman" w:hAnsi="Times New Roman"/>
          <w:i/>
          <w:sz w:val="24"/>
          <w:szCs w:val="24"/>
        </w:rPr>
        <w:t>rtan Durmuşoğlu, Aykan  Karademir</w:t>
      </w:r>
      <w:r w:rsidR="001E1ECB" w:rsidRPr="00E11635">
        <w:rPr>
          <w:rFonts w:ascii="Times New Roman" w:hAnsi="Times New Roman"/>
          <w:sz w:val="24"/>
          <w:szCs w:val="24"/>
        </w:rPr>
        <w:t>…………………</w:t>
      </w:r>
      <w:r w:rsidR="00E11635">
        <w:rPr>
          <w:rFonts w:ascii="Times New Roman" w:hAnsi="Times New Roman"/>
          <w:sz w:val="24"/>
          <w:szCs w:val="24"/>
        </w:rPr>
        <w:t>...</w:t>
      </w:r>
      <w:r w:rsidR="001E1ECB" w:rsidRPr="00E11635">
        <w:rPr>
          <w:rFonts w:ascii="Times New Roman" w:hAnsi="Times New Roman"/>
          <w:sz w:val="24"/>
          <w:szCs w:val="24"/>
        </w:rPr>
        <w:t>……………………11</w:t>
      </w:r>
    </w:p>
    <w:p w:rsidR="00907EDD" w:rsidRDefault="00907EDD" w:rsidP="00907EDD">
      <w:pPr>
        <w:pBdr>
          <w:top w:val="single" w:sz="4" w:space="1" w:color="auto"/>
          <w:left w:val="single" w:sz="4" w:space="4" w:color="auto"/>
          <w:bottom w:val="single" w:sz="4" w:space="1" w:color="auto"/>
          <w:right w:val="single" w:sz="4" w:space="4" w:color="auto"/>
        </w:pBdr>
        <w:spacing w:after="0" w:line="240" w:lineRule="auto"/>
        <w:ind w:right="18"/>
        <w:rPr>
          <w:rFonts w:ascii="Times New Roman" w:hAnsi="Times New Roman"/>
          <w:i/>
          <w:sz w:val="24"/>
          <w:szCs w:val="24"/>
        </w:rPr>
      </w:pPr>
    </w:p>
    <w:p w:rsidR="00907EDD" w:rsidRPr="00626CE3"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eastAsia="Calibri" w:hAnsi="Times New Roman"/>
          <w:sz w:val="24"/>
          <w:szCs w:val="24"/>
        </w:rPr>
      </w:pPr>
      <w:r w:rsidRPr="00626CE3">
        <w:rPr>
          <w:rFonts w:ascii="Times New Roman" w:eastAsia="Calibri" w:hAnsi="Times New Roman"/>
          <w:sz w:val="24"/>
          <w:szCs w:val="24"/>
        </w:rPr>
        <w:t>Atıktan Türetilmiş Yakıtın Çimento Üretiminde Kullanımına Yönelik Türkiye’deki İlk Uygulama</w:t>
      </w:r>
    </w:p>
    <w:p w:rsidR="00907EDD"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contextualSpacing/>
        <w:outlineLvl w:val="0"/>
        <w:rPr>
          <w:rFonts w:ascii="Times New Roman" w:eastAsia="Calibri" w:hAnsi="Times New Roman"/>
          <w:i/>
          <w:sz w:val="24"/>
          <w:szCs w:val="24"/>
        </w:rPr>
      </w:pPr>
      <w:r w:rsidRPr="00626CE3">
        <w:rPr>
          <w:rFonts w:ascii="Times New Roman" w:eastAsia="Calibri" w:hAnsi="Times New Roman"/>
          <w:i/>
          <w:sz w:val="24"/>
          <w:szCs w:val="24"/>
        </w:rPr>
        <w:t>Mustafa Kara, Esin Günay, Yasemin Tabak, Şenol Yıldız, Volkan Enç, Ufuk Durgut</w:t>
      </w:r>
      <w:r w:rsidR="001E1ECB" w:rsidRPr="00E11635">
        <w:rPr>
          <w:rFonts w:ascii="Times New Roman" w:eastAsia="Calibri" w:hAnsi="Times New Roman"/>
          <w:sz w:val="24"/>
          <w:szCs w:val="24"/>
        </w:rPr>
        <w:t>…………,</w:t>
      </w:r>
      <w:r w:rsidR="00E11635">
        <w:rPr>
          <w:rFonts w:ascii="Times New Roman" w:eastAsia="Calibri" w:hAnsi="Times New Roman"/>
          <w:sz w:val="24"/>
          <w:szCs w:val="24"/>
        </w:rPr>
        <w:t>..</w:t>
      </w:r>
      <w:r w:rsidR="001E1ECB" w:rsidRPr="00E11635">
        <w:rPr>
          <w:rFonts w:ascii="Times New Roman" w:eastAsia="Calibri" w:hAnsi="Times New Roman"/>
          <w:sz w:val="24"/>
          <w:szCs w:val="24"/>
        </w:rPr>
        <w:t>……</w:t>
      </w:r>
      <w:r w:rsidR="00E11635">
        <w:rPr>
          <w:rFonts w:ascii="Times New Roman" w:eastAsia="Calibri" w:hAnsi="Times New Roman"/>
          <w:sz w:val="24"/>
          <w:szCs w:val="24"/>
        </w:rPr>
        <w:t>.</w:t>
      </w:r>
      <w:r w:rsidR="001E1ECB" w:rsidRPr="00E11635">
        <w:rPr>
          <w:rFonts w:ascii="Times New Roman" w:eastAsia="Calibri" w:hAnsi="Times New Roman"/>
          <w:sz w:val="24"/>
          <w:szCs w:val="24"/>
        </w:rPr>
        <w:t>19</w:t>
      </w:r>
    </w:p>
    <w:p w:rsidR="007E3D23" w:rsidRDefault="007E3D23" w:rsidP="00907EDD">
      <w:pPr>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hAnsi="Times New Roman"/>
          <w:sz w:val="24"/>
          <w:szCs w:val="24"/>
        </w:rPr>
      </w:pPr>
    </w:p>
    <w:p w:rsidR="00907EDD" w:rsidRPr="00626CE3"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hAnsi="Times New Roman"/>
          <w:sz w:val="24"/>
          <w:szCs w:val="24"/>
        </w:rPr>
      </w:pPr>
      <w:r w:rsidRPr="00626CE3">
        <w:rPr>
          <w:rFonts w:ascii="Times New Roman" w:hAnsi="Times New Roman"/>
          <w:sz w:val="24"/>
          <w:szCs w:val="24"/>
        </w:rPr>
        <w:t>Eczanelerden Kaynaklanan Raf Ömrü Dolmuş İlaç Atıklarının Yönetimi, İstanbul Örneği</w:t>
      </w:r>
    </w:p>
    <w:p w:rsidR="00907EDD" w:rsidRPr="00626CE3"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hAnsi="Times New Roman"/>
          <w:i/>
          <w:sz w:val="24"/>
          <w:szCs w:val="24"/>
        </w:rPr>
      </w:pPr>
      <w:r w:rsidRPr="00626CE3">
        <w:rPr>
          <w:rFonts w:ascii="Times New Roman" w:hAnsi="Times New Roman"/>
          <w:i/>
          <w:sz w:val="24"/>
          <w:szCs w:val="24"/>
        </w:rPr>
        <w:t>Tansu Haksevenler</w:t>
      </w:r>
      <w:r w:rsidR="001E1ECB" w:rsidRPr="00E11635">
        <w:rPr>
          <w:rFonts w:ascii="Times New Roman" w:hAnsi="Times New Roman"/>
          <w:sz w:val="24"/>
          <w:szCs w:val="24"/>
        </w:rPr>
        <w:t>………………………,………28</w:t>
      </w:r>
    </w:p>
    <w:p w:rsidR="00907EDD" w:rsidRPr="00626CE3"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hAnsi="Times New Roman"/>
          <w:sz w:val="24"/>
          <w:szCs w:val="24"/>
        </w:rPr>
      </w:pPr>
    </w:p>
    <w:p w:rsidR="00907EDD" w:rsidRPr="00626CE3" w:rsidRDefault="00907EDD" w:rsidP="00907EDD">
      <w:pPr>
        <w:widowControl w:val="0"/>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hAnsi="Times New Roman"/>
          <w:sz w:val="24"/>
          <w:szCs w:val="24"/>
        </w:rPr>
      </w:pPr>
      <w:r w:rsidRPr="00626CE3">
        <w:rPr>
          <w:rFonts w:ascii="Times New Roman" w:hAnsi="Times New Roman"/>
          <w:sz w:val="24"/>
          <w:szCs w:val="24"/>
        </w:rPr>
        <w:t>Tavukçuluk Katı Atıklarının Tavuk Gübresine İşlenerek Çevre Kirliliğinin Azaltılması</w:t>
      </w:r>
    </w:p>
    <w:p w:rsidR="00907EDD" w:rsidRPr="00626CE3" w:rsidRDefault="00907EDD" w:rsidP="00907EDD">
      <w:pPr>
        <w:widowControl w:val="0"/>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hAnsi="Times New Roman"/>
          <w:i/>
          <w:sz w:val="24"/>
          <w:szCs w:val="24"/>
        </w:rPr>
      </w:pPr>
      <w:r w:rsidRPr="00626CE3">
        <w:rPr>
          <w:rFonts w:ascii="Times New Roman" w:hAnsi="Times New Roman"/>
          <w:i/>
          <w:sz w:val="24"/>
          <w:szCs w:val="24"/>
        </w:rPr>
        <w:t>Hasan Eleroğlu, Arda Yıldırım</w:t>
      </w:r>
      <w:r w:rsidR="001E1ECB" w:rsidRPr="00E11635">
        <w:rPr>
          <w:rFonts w:ascii="Times New Roman" w:hAnsi="Times New Roman"/>
          <w:sz w:val="24"/>
          <w:szCs w:val="24"/>
        </w:rPr>
        <w:t>………………</w:t>
      </w:r>
      <w:r w:rsidR="00E11635">
        <w:rPr>
          <w:rFonts w:ascii="Times New Roman" w:hAnsi="Times New Roman"/>
          <w:sz w:val="24"/>
          <w:szCs w:val="24"/>
        </w:rPr>
        <w:t>...</w:t>
      </w:r>
      <w:r w:rsidR="001E1ECB" w:rsidRPr="00E11635">
        <w:rPr>
          <w:rFonts w:ascii="Times New Roman" w:hAnsi="Times New Roman"/>
          <w:sz w:val="24"/>
          <w:szCs w:val="24"/>
        </w:rPr>
        <w:t>…33</w:t>
      </w:r>
    </w:p>
    <w:p w:rsidR="00907EDD" w:rsidRDefault="00907EDD" w:rsidP="00907EDD">
      <w:pPr>
        <w:pBdr>
          <w:top w:val="single" w:sz="4" w:space="1" w:color="auto"/>
          <w:left w:val="single" w:sz="4" w:space="4" w:color="auto"/>
          <w:bottom w:val="single" w:sz="4" w:space="1" w:color="auto"/>
          <w:right w:val="single" w:sz="4" w:space="4" w:color="auto"/>
        </w:pBdr>
        <w:spacing w:after="0" w:line="240" w:lineRule="auto"/>
        <w:ind w:right="18"/>
        <w:rPr>
          <w:rFonts w:ascii="Times New Roman" w:hAnsi="Times New Roman"/>
          <w:i/>
          <w:sz w:val="24"/>
          <w:szCs w:val="24"/>
        </w:rPr>
      </w:pPr>
    </w:p>
    <w:p w:rsidR="00907EDD" w:rsidRPr="00626CE3" w:rsidRDefault="00907EDD" w:rsidP="00907EDD">
      <w:pPr>
        <w:widowControl w:val="0"/>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hAnsi="Times New Roman"/>
          <w:color w:val="000000"/>
          <w:sz w:val="24"/>
          <w:szCs w:val="24"/>
        </w:rPr>
      </w:pPr>
      <w:r w:rsidRPr="00626CE3">
        <w:rPr>
          <w:rFonts w:ascii="Times New Roman" w:hAnsi="Times New Roman"/>
          <w:color w:val="000000"/>
          <w:sz w:val="24"/>
          <w:szCs w:val="24"/>
        </w:rPr>
        <w:t xml:space="preserve">Liç Atıklarından </w:t>
      </w:r>
      <w:r w:rsidR="004E1C26">
        <w:rPr>
          <w:rFonts w:ascii="Times New Roman" w:hAnsi="Times New Roman"/>
          <w:color w:val="000000"/>
          <w:sz w:val="24"/>
          <w:szCs w:val="24"/>
        </w:rPr>
        <w:t>v</w:t>
      </w:r>
      <w:r w:rsidRPr="00626CE3">
        <w:rPr>
          <w:rFonts w:ascii="Times New Roman" w:hAnsi="Times New Roman"/>
          <w:color w:val="000000"/>
          <w:sz w:val="24"/>
          <w:szCs w:val="24"/>
        </w:rPr>
        <w:t>e Bor Türevlerinden Renkli, Sert Borosilikat – Borcam Üretimi</w:t>
      </w:r>
    </w:p>
    <w:p w:rsidR="00907EDD" w:rsidRPr="00626CE3"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hAnsi="Times New Roman"/>
          <w:i/>
          <w:color w:val="000000"/>
          <w:sz w:val="24"/>
          <w:szCs w:val="24"/>
          <w:vertAlign w:val="superscript"/>
        </w:rPr>
      </w:pPr>
      <w:r w:rsidRPr="00626CE3">
        <w:rPr>
          <w:rFonts w:ascii="Times New Roman" w:hAnsi="Times New Roman"/>
          <w:i/>
          <w:color w:val="000000"/>
          <w:sz w:val="24"/>
          <w:szCs w:val="24"/>
        </w:rPr>
        <w:t>Ayşegül</w:t>
      </w:r>
      <w:r w:rsidRPr="00626CE3">
        <w:rPr>
          <w:rFonts w:ascii="Times New Roman" w:hAnsi="Times New Roman"/>
          <w:i/>
          <w:color w:val="000000"/>
          <w:sz w:val="24"/>
          <w:szCs w:val="24"/>
          <w:u w:val="single"/>
        </w:rPr>
        <w:t xml:space="preserve"> </w:t>
      </w:r>
      <w:r w:rsidRPr="00626CE3">
        <w:rPr>
          <w:rFonts w:ascii="Times New Roman" w:hAnsi="Times New Roman"/>
          <w:i/>
          <w:color w:val="000000"/>
          <w:sz w:val="24"/>
          <w:szCs w:val="24"/>
        </w:rPr>
        <w:t>Pala, Turan Batar, Filiz  Mısırlı, Beril Sülün, Yasemin Pakso</w:t>
      </w:r>
      <w:r w:rsidR="001E1ECB">
        <w:rPr>
          <w:rFonts w:ascii="Times New Roman" w:hAnsi="Times New Roman"/>
          <w:i/>
          <w:color w:val="000000"/>
          <w:sz w:val="24"/>
          <w:szCs w:val="24"/>
        </w:rPr>
        <w:t>y</w:t>
      </w:r>
      <w:r w:rsidR="001E1ECB" w:rsidRPr="00E11635">
        <w:rPr>
          <w:rFonts w:ascii="Times New Roman" w:hAnsi="Times New Roman"/>
          <w:color w:val="000000"/>
          <w:sz w:val="24"/>
          <w:szCs w:val="24"/>
        </w:rPr>
        <w:t>……………………….</w:t>
      </w:r>
      <w:r w:rsidR="00E11635">
        <w:rPr>
          <w:rFonts w:ascii="Times New Roman" w:hAnsi="Times New Roman"/>
          <w:color w:val="000000"/>
          <w:sz w:val="24"/>
          <w:szCs w:val="24"/>
        </w:rPr>
        <w:t>..</w:t>
      </w:r>
      <w:r w:rsidR="001E1ECB" w:rsidRPr="00E11635">
        <w:rPr>
          <w:rFonts w:ascii="Times New Roman" w:hAnsi="Times New Roman"/>
          <w:color w:val="000000"/>
          <w:sz w:val="24"/>
          <w:szCs w:val="24"/>
        </w:rPr>
        <w:t>…43</w:t>
      </w:r>
    </w:p>
    <w:p w:rsidR="00907EDD"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rPr>
          <w:rFonts w:ascii="Times New Roman" w:hAnsi="Times New Roman"/>
          <w:sz w:val="24"/>
          <w:szCs w:val="24"/>
        </w:rPr>
      </w:pPr>
    </w:p>
    <w:p w:rsidR="00907EDD" w:rsidRPr="00626CE3"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hAnsi="Times New Roman"/>
          <w:sz w:val="24"/>
          <w:szCs w:val="24"/>
        </w:rPr>
      </w:pPr>
      <w:r w:rsidRPr="00626CE3">
        <w:rPr>
          <w:rFonts w:ascii="Times New Roman" w:hAnsi="Times New Roman"/>
          <w:sz w:val="24"/>
          <w:szCs w:val="24"/>
        </w:rPr>
        <w:t>Tıbbî Atık Yönetiminde Bölgesel Çözüm: Bolu-Düzce-Sakarya Örneği</w:t>
      </w:r>
    </w:p>
    <w:p w:rsidR="00907EDD" w:rsidRPr="00626CE3"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contextualSpacing/>
        <w:rPr>
          <w:rFonts w:ascii="Times New Roman" w:hAnsi="Times New Roman"/>
          <w:i/>
          <w:sz w:val="24"/>
          <w:szCs w:val="24"/>
        </w:rPr>
      </w:pPr>
      <w:r w:rsidRPr="00626CE3">
        <w:rPr>
          <w:rFonts w:ascii="Times New Roman" w:hAnsi="Times New Roman"/>
          <w:i/>
          <w:sz w:val="24"/>
          <w:szCs w:val="24"/>
        </w:rPr>
        <w:t>Kamil B. Varınca, Cengiz Esmen, Yaşar Avşa</w:t>
      </w:r>
      <w:r w:rsidR="001E1ECB">
        <w:rPr>
          <w:rFonts w:ascii="Times New Roman" w:hAnsi="Times New Roman"/>
          <w:i/>
          <w:sz w:val="24"/>
          <w:szCs w:val="24"/>
        </w:rPr>
        <w:t>r</w:t>
      </w:r>
      <w:r w:rsidR="001E1ECB" w:rsidRPr="00E11635">
        <w:rPr>
          <w:rFonts w:ascii="Times New Roman" w:hAnsi="Times New Roman"/>
          <w:sz w:val="24"/>
          <w:szCs w:val="24"/>
        </w:rPr>
        <w:t>.</w:t>
      </w:r>
      <w:r w:rsidR="00E11635">
        <w:rPr>
          <w:rFonts w:ascii="Times New Roman" w:hAnsi="Times New Roman"/>
          <w:sz w:val="24"/>
          <w:szCs w:val="24"/>
        </w:rPr>
        <w:t>..</w:t>
      </w:r>
      <w:r w:rsidR="001E1ECB" w:rsidRPr="00E11635">
        <w:rPr>
          <w:rFonts w:ascii="Times New Roman" w:hAnsi="Times New Roman"/>
          <w:sz w:val="24"/>
          <w:szCs w:val="24"/>
        </w:rPr>
        <w:t>..54</w:t>
      </w:r>
    </w:p>
    <w:p w:rsidR="00907EDD"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rPr>
          <w:rFonts w:ascii="Times New Roman" w:hAnsi="Times New Roman"/>
          <w:b/>
          <w:color w:val="000000"/>
          <w:sz w:val="24"/>
          <w:szCs w:val="24"/>
          <w:vertAlign w:val="superscript"/>
        </w:rPr>
      </w:pPr>
    </w:p>
    <w:p w:rsidR="00907EDD"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rPr>
          <w:rFonts w:ascii="Times New Roman" w:hAnsi="Times New Roman"/>
          <w:color w:val="000000"/>
          <w:sz w:val="24"/>
          <w:szCs w:val="24"/>
        </w:rPr>
      </w:pPr>
      <w:r>
        <w:rPr>
          <w:rFonts w:ascii="Times New Roman" w:hAnsi="Times New Roman"/>
          <w:color w:val="000000"/>
          <w:sz w:val="24"/>
          <w:szCs w:val="24"/>
        </w:rPr>
        <w:t>Toplantılar</w:t>
      </w:r>
      <w:r w:rsidR="00E11635">
        <w:rPr>
          <w:rFonts w:ascii="Times New Roman" w:hAnsi="Times New Roman"/>
          <w:color w:val="000000"/>
          <w:sz w:val="24"/>
          <w:szCs w:val="24"/>
        </w:rPr>
        <w:t>……………………………………..…65</w:t>
      </w:r>
    </w:p>
    <w:p w:rsidR="00C92C64" w:rsidRDefault="00C92C64" w:rsidP="00907EDD">
      <w:pPr>
        <w:pBdr>
          <w:top w:val="single" w:sz="4" w:space="1" w:color="auto"/>
          <w:left w:val="single" w:sz="4" w:space="4" w:color="auto"/>
          <w:bottom w:val="single" w:sz="4" w:space="1" w:color="auto"/>
          <w:right w:val="single" w:sz="4" w:space="4" w:color="auto"/>
        </w:pBdr>
        <w:spacing w:before="120" w:after="120" w:line="240" w:lineRule="auto"/>
        <w:ind w:right="18"/>
        <w:rPr>
          <w:rFonts w:ascii="Times New Roman" w:hAnsi="Times New Roman"/>
          <w:color w:val="000000"/>
          <w:sz w:val="24"/>
          <w:szCs w:val="24"/>
        </w:rPr>
      </w:pPr>
      <w:r>
        <w:rPr>
          <w:rFonts w:ascii="Times New Roman" w:hAnsi="Times New Roman"/>
          <w:color w:val="000000"/>
          <w:sz w:val="24"/>
          <w:szCs w:val="24"/>
        </w:rPr>
        <w:t>Yayınlar…………………………………………..66</w:t>
      </w:r>
    </w:p>
    <w:p w:rsidR="00907EDD" w:rsidRPr="00AB4E41" w:rsidRDefault="00907EDD" w:rsidP="00907EDD">
      <w:pPr>
        <w:pBdr>
          <w:top w:val="single" w:sz="4" w:space="1" w:color="auto"/>
          <w:left w:val="single" w:sz="4" w:space="4" w:color="auto"/>
          <w:bottom w:val="single" w:sz="4" w:space="1" w:color="auto"/>
          <w:right w:val="single" w:sz="4" w:space="4" w:color="auto"/>
        </w:pBdr>
        <w:spacing w:before="120" w:after="120" w:line="240" w:lineRule="auto"/>
        <w:ind w:right="18"/>
        <w:rPr>
          <w:rFonts w:ascii="Times New Roman" w:hAnsi="Times New Roman"/>
          <w:color w:val="000000"/>
          <w:sz w:val="24"/>
          <w:szCs w:val="24"/>
        </w:rPr>
      </w:pPr>
      <w:r>
        <w:rPr>
          <w:rFonts w:ascii="Times New Roman" w:hAnsi="Times New Roman"/>
          <w:color w:val="000000"/>
          <w:sz w:val="24"/>
          <w:szCs w:val="24"/>
        </w:rPr>
        <w:t>Yazım Kuralları</w:t>
      </w:r>
      <w:r w:rsidR="00E11635">
        <w:rPr>
          <w:rFonts w:ascii="Times New Roman" w:hAnsi="Times New Roman"/>
          <w:color w:val="000000"/>
          <w:sz w:val="24"/>
          <w:szCs w:val="24"/>
        </w:rPr>
        <w:t>………………………………......6</w:t>
      </w:r>
      <w:r w:rsidR="00C92C64">
        <w:rPr>
          <w:rFonts w:ascii="Times New Roman" w:hAnsi="Times New Roman"/>
          <w:color w:val="000000"/>
          <w:sz w:val="24"/>
          <w:szCs w:val="24"/>
        </w:rPr>
        <w:t>7</w:t>
      </w:r>
    </w:p>
    <w:p w:rsidR="00907EDD" w:rsidRDefault="00907EDD" w:rsidP="00AB4E41">
      <w:pPr>
        <w:ind w:right="18"/>
        <w:jc w:val="center"/>
        <w:rPr>
          <w:rFonts w:ascii="Times New Roman" w:hAnsi="Times New Roman"/>
          <w:b/>
          <w:sz w:val="44"/>
        </w:rPr>
      </w:pPr>
    </w:p>
    <w:p w:rsidR="00907EDD" w:rsidRDefault="00907EDD" w:rsidP="00907EDD">
      <w:pPr>
        <w:tabs>
          <w:tab w:val="left" w:pos="709"/>
        </w:tabs>
        <w:spacing w:after="0" w:line="240" w:lineRule="auto"/>
        <w:jc w:val="both"/>
        <w:rPr>
          <w:rFonts w:ascii="Garamond" w:hAnsi="Garamond"/>
          <w:b/>
          <w:bCs/>
          <w:sz w:val="24"/>
          <w:szCs w:val="24"/>
        </w:rPr>
      </w:pPr>
    </w:p>
    <w:p w:rsidR="00907EDD" w:rsidRDefault="00907EDD" w:rsidP="00907EDD">
      <w:pPr>
        <w:tabs>
          <w:tab w:val="left" w:pos="709"/>
        </w:tabs>
        <w:spacing w:after="0" w:line="240" w:lineRule="auto"/>
        <w:jc w:val="both"/>
        <w:rPr>
          <w:rFonts w:ascii="Garamond" w:hAnsi="Garamond"/>
          <w:b/>
          <w:bCs/>
          <w:sz w:val="24"/>
          <w:szCs w:val="24"/>
        </w:rPr>
      </w:pPr>
    </w:p>
    <w:p w:rsidR="00907EDD" w:rsidRDefault="00907EDD" w:rsidP="00907EDD">
      <w:pPr>
        <w:tabs>
          <w:tab w:val="left" w:pos="709"/>
        </w:tabs>
        <w:spacing w:after="0" w:line="240" w:lineRule="auto"/>
        <w:jc w:val="both"/>
        <w:rPr>
          <w:rFonts w:ascii="Garamond" w:hAnsi="Garamond"/>
          <w:b/>
          <w:bCs/>
          <w:sz w:val="24"/>
          <w:szCs w:val="24"/>
        </w:rPr>
      </w:pPr>
    </w:p>
    <w:p w:rsidR="00907EDD" w:rsidRDefault="00907EDD" w:rsidP="00907EDD">
      <w:pPr>
        <w:tabs>
          <w:tab w:val="left" w:pos="709"/>
        </w:tabs>
        <w:spacing w:after="0" w:line="240" w:lineRule="auto"/>
        <w:jc w:val="both"/>
        <w:rPr>
          <w:rFonts w:ascii="Garamond" w:hAnsi="Garamond"/>
          <w:b/>
          <w:bCs/>
          <w:sz w:val="24"/>
          <w:szCs w:val="24"/>
        </w:rPr>
      </w:pPr>
    </w:p>
    <w:p w:rsidR="00907EDD" w:rsidRDefault="00907EDD" w:rsidP="00907EDD">
      <w:pPr>
        <w:tabs>
          <w:tab w:val="left" w:pos="709"/>
        </w:tabs>
        <w:spacing w:after="0" w:line="240" w:lineRule="auto"/>
        <w:jc w:val="both"/>
        <w:rPr>
          <w:rFonts w:ascii="Garamond" w:hAnsi="Garamond"/>
          <w:b/>
          <w:bCs/>
          <w:sz w:val="24"/>
          <w:szCs w:val="24"/>
        </w:rPr>
      </w:pPr>
    </w:p>
    <w:p w:rsidR="00907EDD" w:rsidRDefault="00907EDD" w:rsidP="00907EDD">
      <w:pPr>
        <w:tabs>
          <w:tab w:val="left" w:pos="709"/>
        </w:tabs>
        <w:spacing w:after="0" w:line="240" w:lineRule="auto"/>
        <w:jc w:val="both"/>
        <w:rPr>
          <w:rFonts w:ascii="Garamond" w:hAnsi="Garamond"/>
          <w:b/>
          <w:bCs/>
          <w:sz w:val="24"/>
          <w:szCs w:val="24"/>
        </w:rPr>
      </w:pPr>
    </w:p>
    <w:p w:rsidR="007E3D23" w:rsidRDefault="007E3D23" w:rsidP="00907EDD">
      <w:pPr>
        <w:tabs>
          <w:tab w:val="left" w:pos="709"/>
        </w:tabs>
        <w:spacing w:after="0" w:line="240" w:lineRule="auto"/>
        <w:jc w:val="both"/>
        <w:rPr>
          <w:rFonts w:ascii="Garamond" w:hAnsi="Garamond"/>
          <w:b/>
          <w:bCs/>
          <w:sz w:val="24"/>
          <w:szCs w:val="24"/>
        </w:rPr>
      </w:pPr>
    </w:p>
    <w:p w:rsidR="007E3D23" w:rsidRDefault="007E3D23" w:rsidP="00907EDD">
      <w:pPr>
        <w:tabs>
          <w:tab w:val="left" w:pos="709"/>
        </w:tabs>
        <w:spacing w:after="0" w:line="240" w:lineRule="auto"/>
        <w:jc w:val="both"/>
        <w:rPr>
          <w:rFonts w:ascii="Garamond" w:hAnsi="Garamond"/>
          <w:b/>
          <w:bCs/>
          <w:sz w:val="24"/>
          <w:szCs w:val="24"/>
        </w:rPr>
      </w:pPr>
    </w:p>
    <w:p w:rsidR="007E3D23" w:rsidRDefault="007E3D23" w:rsidP="00907EDD">
      <w:pPr>
        <w:tabs>
          <w:tab w:val="left" w:pos="709"/>
        </w:tabs>
        <w:spacing w:after="0" w:line="240" w:lineRule="auto"/>
        <w:jc w:val="both"/>
        <w:rPr>
          <w:rFonts w:ascii="Garamond" w:hAnsi="Garamond"/>
          <w:b/>
          <w:bCs/>
          <w:sz w:val="24"/>
          <w:szCs w:val="24"/>
        </w:rPr>
      </w:pPr>
    </w:p>
    <w:p w:rsidR="007E3D23" w:rsidRDefault="007E3D23" w:rsidP="00907EDD">
      <w:pPr>
        <w:tabs>
          <w:tab w:val="left" w:pos="709"/>
        </w:tabs>
        <w:spacing w:after="0" w:line="240" w:lineRule="auto"/>
        <w:jc w:val="both"/>
        <w:rPr>
          <w:rFonts w:ascii="Garamond" w:hAnsi="Garamond"/>
          <w:b/>
          <w:bCs/>
          <w:sz w:val="24"/>
          <w:szCs w:val="24"/>
        </w:rPr>
      </w:pPr>
    </w:p>
    <w:p w:rsidR="007E3D23" w:rsidRDefault="007E3D23" w:rsidP="00907EDD">
      <w:pPr>
        <w:tabs>
          <w:tab w:val="left" w:pos="709"/>
        </w:tabs>
        <w:spacing w:after="0" w:line="240" w:lineRule="auto"/>
        <w:jc w:val="both"/>
        <w:rPr>
          <w:rFonts w:ascii="Garamond" w:hAnsi="Garamond"/>
          <w:b/>
          <w:bCs/>
          <w:sz w:val="24"/>
          <w:szCs w:val="24"/>
        </w:rPr>
      </w:pPr>
    </w:p>
    <w:p w:rsidR="00907EDD" w:rsidRPr="004E1C26" w:rsidRDefault="00907EDD" w:rsidP="00907EDD">
      <w:pPr>
        <w:tabs>
          <w:tab w:val="left" w:pos="709"/>
        </w:tabs>
        <w:spacing w:after="0" w:line="240" w:lineRule="auto"/>
        <w:jc w:val="both"/>
        <w:rPr>
          <w:rFonts w:ascii="Times New Roman" w:hAnsi="Times New Roman"/>
          <w:b/>
          <w:bCs/>
          <w:sz w:val="24"/>
          <w:szCs w:val="24"/>
        </w:rPr>
      </w:pPr>
      <w:r w:rsidRPr="004E1C26">
        <w:rPr>
          <w:rFonts w:ascii="Times New Roman" w:hAnsi="Times New Roman"/>
          <w:b/>
          <w:bCs/>
          <w:sz w:val="24"/>
          <w:szCs w:val="24"/>
        </w:rPr>
        <w:t>OKURLARIMIZA</w:t>
      </w:r>
    </w:p>
    <w:p w:rsidR="00907EDD" w:rsidRPr="004E1C26" w:rsidRDefault="00907EDD" w:rsidP="00907EDD">
      <w:pPr>
        <w:tabs>
          <w:tab w:val="left" w:pos="709"/>
        </w:tabs>
        <w:spacing w:after="0" w:line="240" w:lineRule="auto"/>
        <w:jc w:val="both"/>
        <w:rPr>
          <w:rFonts w:ascii="Times New Roman" w:hAnsi="Times New Roman"/>
          <w:sz w:val="24"/>
          <w:szCs w:val="24"/>
        </w:rPr>
      </w:pPr>
    </w:p>
    <w:p w:rsidR="00907EDD" w:rsidRPr="004E1C26" w:rsidRDefault="00907EDD" w:rsidP="00907EDD">
      <w:pPr>
        <w:autoSpaceDE w:val="0"/>
        <w:spacing w:after="0" w:line="240" w:lineRule="auto"/>
        <w:ind w:right="-1"/>
        <w:jc w:val="both"/>
        <w:rPr>
          <w:rFonts w:ascii="Times New Roman" w:hAnsi="Times New Roman"/>
          <w:color w:val="FF0000"/>
          <w:sz w:val="24"/>
          <w:szCs w:val="24"/>
        </w:rPr>
      </w:pPr>
    </w:p>
    <w:p w:rsidR="00907EDD" w:rsidRPr="00086F2C" w:rsidRDefault="00907EDD" w:rsidP="00907EDD">
      <w:pPr>
        <w:autoSpaceDE w:val="0"/>
        <w:autoSpaceDN w:val="0"/>
        <w:adjustRightInd w:val="0"/>
        <w:spacing w:after="0" w:line="240" w:lineRule="auto"/>
        <w:jc w:val="both"/>
        <w:rPr>
          <w:rFonts w:ascii="Times New Roman" w:eastAsia="+mn-ea" w:hAnsi="Times New Roman"/>
          <w:bCs/>
          <w:sz w:val="24"/>
          <w:szCs w:val="24"/>
          <w:highlight w:val="yellow"/>
        </w:rPr>
      </w:pPr>
      <w:r w:rsidRPr="00086F2C">
        <w:rPr>
          <w:rFonts w:ascii="Times New Roman" w:eastAsia="+mn-ea" w:hAnsi="Times New Roman"/>
          <w:bCs/>
          <w:sz w:val="24"/>
          <w:szCs w:val="24"/>
          <w:highlight w:val="yellow"/>
        </w:rPr>
        <w:t>Her sene değişik bir üniversite ile düzenlenen “Ulusal Katı Atık Yönetimi Kongresi’ni (UKAY), Katı Atık Kirlenmesi Araştırma ve Denetimi Türk Milli Komitesi (KAKAD), II. UKAY 2011’i Mersin Üniversitesi ile birlikte organize etmiştir.</w:t>
      </w:r>
    </w:p>
    <w:p w:rsidR="00907EDD" w:rsidRPr="00086F2C" w:rsidRDefault="00907EDD" w:rsidP="00907EDD">
      <w:pPr>
        <w:autoSpaceDE w:val="0"/>
        <w:autoSpaceDN w:val="0"/>
        <w:adjustRightInd w:val="0"/>
        <w:spacing w:after="0" w:line="240" w:lineRule="auto"/>
        <w:jc w:val="both"/>
        <w:rPr>
          <w:rFonts w:ascii="Times New Roman" w:eastAsia="+mn-ea" w:hAnsi="Times New Roman"/>
          <w:bCs/>
          <w:sz w:val="24"/>
          <w:szCs w:val="24"/>
          <w:highlight w:val="yellow"/>
        </w:rPr>
      </w:pPr>
    </w:p>
    <w:p w:rsidR="00907EDD" w:rsidRPr="00086F2C" w:rsidRDefault="00907EDD" w:rsidP="00907EDD">
      <w:pPr>
        <w:autoSpaceDE w:val="0"/>
        <w:autoSpaceDN w:val="0"/>
        <w:adjustRightInd w:val="0"/>
        <w:spacing w:after="0" w:line="240" w:lineRule="auto"/>
        <w:jc w:val="both"/>
        <w:rPr>
          <w:rFonts w:ascii="Times New Roman" w:eastAsia="+mn-ea" w:hAnsi="Times New Roman"/>
          <w:bCs/>
          <w:sz w:val="24"/>
          <w:szCs w:val="24"/>
          <w:highlight w:val="yellow"/>
        </w:rPr>
      </w:pPr>
      <w:r w:rsidRPr="00086F2C">
        <w:rPr>
          <w:rFonts w:ascii="Times New Roman" w:eastAsia="+mn-ea" w:hAnsi="Times New Roman"/>
          <w:bCs/>
          <w:sz w:val="24"/>
          <w:szCs w:val="24"/>
          <w:highlight w:val="yellow"/>
        </w:rPr>
        <w:t>Kongre’de sunulan 75 bildiriden Kongre Bilim Kurulu tarafından seçilmiş olan bildirilerden yedi tanesi Katı Atık ve Çevre Dergisi’nin özel sayısında yayınlanarak Katı Atık ve Çevre Dergisi okuyucularına sunulmuştur.</w:t>
      </w:r>
    </w:p>
    <w:p w:rsidR="00907EDD" w:rsidRPr="00086F2C" w:rsidRDefault="00907EDD" w:rsidP="00907EDD">
      <w:pPr>
        <w:autoSpaceDE w:val="0"/>
        <w:autoSpaceDN w:val="0"/>
        <w:adjustRightInd w:val="0"/>
        <w:spacing w:after="0" w:line="240" w:lineRule="auto"/>
        <w:jc w:val="both"/>
        <w:rPr>
          <w:rFonts w:ascii="Times New Roman" w:eastAsia="+mn-ea" w:hAnsi="Times New Roman"/>
          <w:bCs/>
          <w:sz w:val="24"/>
          <w:szCs w:val="24"/>
          <w:highlight w:val="yellow"/>
        </w:rPr>
      </w:pPr>
    </w:p>
    <w:p w:rsidR="00907EDD" w:rsidRPr="004E1C26" w:rsidRDefault="00907EDD" w:rsidP="00907EDD">
      <w:pPr>
        <w:autoSpaceDE w:val="0"/>
        <w:autoSpaceDN w:val="0"/>
        <w:adjustRightInd w:val="0"/>
        <w:spacing w:after="0" w:line="240" w:lineRule="auto"/>
        <w:jc w:val="both"/>
        <w:rPr>
          <w:rFonts w:ascii="Times New Roman" w:eastAsia="Calibri" w:hAnsi="Times New Roman"/>
          <w:iCs/>
        </w:rPr>
      </w:pPr>
      <w:r w:rsidRPr="00086F2C">
        <w:rPr>
          <w:rFonts w:ascii="Times New Roman" w:eastAsia="+mn-ea" w:hAnsi="Times New Roman"/>
          <w:bCs/>
          <w:sz w:val="24"/>
          <w:szCs w:val="24"/>
          <w:highlight w:val="yellow"/>
        </w:rPr>
        <w:t>Kentsel katı atık potansiyeli, katı atıkların kaynakta azaltılması, arıtma tesisi çamurları, sızıntı suyu ve kompost konularında olan makalelerin akademisyenler, özel ve kamu elemanları, yasa koyucu/uygulayıcıları, kısaca tüm okuyucularımız için yararlı olacağı inancındayız.</w:t>
      </w:r>
    </w:p>
    <w:p w:rsidR="00907EDD" w:rsidRPr="004E1C26" w:rsidRDefault="00907EDD" w:rsidP="00907EDD">
      <w:pPr>
        <w:autoSpaceDE w:val="0"/>
        <w:spacing w:after="0" w:line="240" w:lineRule="auto"/>
        <w:ind w:right="-1"/>
        <w:jc w:val="both"/>
        <w:rPr>
          <w:rFonts w:ascii="Times New Roman" w:hAnsi="Times New Roman"/>
          <w:bCs/>
        </w:rPr>
      </w:pPr>
      <w:r w:rsidRPr="004E1C26">
        <w:rPr>
          <w:rFonts w:ascii="Times New Roman" w:hAnsi="Times New Roman"/>
          <w:bCs/>
        </w:rPr>
        <w:t xml:space="preserve"> </w:t>
      </w:r>
    </w:p>
    <w:p w:rsidR="00907EDD" w:rsidRPr="004E1C26" w:rsidRDefault="00907EDD" w:rsidP="00907EDD">
      <w:pPr>
        <w:tabs>
          <w:tab w:val="left" w:pos="709"/>
        </w:tabs>
        <w:spacing w:after="0" w:line="240" w:lineRule="auto"/>
        <w:jc w:val="both"/>
        <w:rPr>
          <w:rFonts w:ascii="Times New Roman" w:hAnsi="Times New Roman"/>
        </w:rPr>
      </w:pPr>
      <w:r w:rsidRPr="004E1C26">
        <w:rPr>
          <w:rFonts w:ascii="Times New Roman" w:hAnsi="Times New Roman"/>
        </w:rPr>
        <w:t>Saygılarımızla,</w:t>
      </w:r>
    </w:p>
    <w:p w:rsidR="00907EDD" w:rsidRPr="004E1C26" w:rsidRDefault="00907EDD" w:rsidP="00907EDD">
      <w:pPr>
        <w:tabs>
          <w:tab w:val="left" w:pos="709"/>
        </w:tabs>
        <w:spacing w:before="100" w:beforeAutospacing="1" w:after="100" w:afterAutospacing="1" w:line="240" w:lineRule="auto"/>
        <w:rPr>
          <w:rFonts w:ascii="Times New Roman" w:hAnsi="Times New Roman"/>
        </w:rPr>
      </w:pPr>
      <w:r w:rsidRPr="004E1C26">
        <w:rPr>
          <w:rFonts w:ascii="Times New Roman" w:hAnsi="Times New Roman"/>
        </w:rPr>
        <w:t>Yazı Kurulu adına</w:t>
      </w:r>
    </w:p>
    <w:p w:rsidR="00907EDD" w:rsidRPr="004E1C26" w:rsidRDefault="00907EDD" w:rsidP="00907EDD">
      <w:pPr>
        <w:spacing w:after="0" w:line="240" w:lineRule="auto"/>
        <w:rPr>
          <w:rFonts w:ascii="Times New Roman" w:hAnsi="Times New Roman"/>
          <w:bCs/>
          <w:sz w:val="24"/>
          <w:szCs w:val="24"/>
        </w:rPr>
      </w:pPr>
      <w:r w:rsidRPr="004E1C26">
        <w:rPr>
          <w:rFonts w:ascii="Times New Roman" w:hAnsi="Times New Roman"/>
        </w:rPr>
        <w:t>Prof. Dr. Günay KOCASOY</w:t>
      </w:r>
    </w:p>
    <w:p w:rsidR="00907EDD" w:rsidRDefault="00907EDD" w:rsidP="00AB4E41">
      <w:pPr>
        <w:ind w:right="18"/>
        <w:jc w:val="center"/>
        <w:rPr>
          <w:rFonts w:ascii="Times New Roman" w:hAnsi="Times New Roman"/>
          <w:b/>
          <w:sz w:val="44"/>
        </w:rPr>
      </w:pPr>
    </w:p>
    <w:p w:rsidR="00907EDD" w:rsidRDefault="00907EDD" w:rsidP="00AB4E41">
      <w:pPr>
        <w:ind w:right="18"/>
        <w:jc w:val="center"/>
        <w:rPr>
          <w:rFonts w:ascii="Times New Roman" w:hAnsi="Times New Roman"/>
          <w:b/>
          <w:sz w:val="44"/>
        </w:rPr>
      </w:pPr>
    </w:p>
    <w:p w:rsidR="00907EDD" w:rsidRDefault="00907EDD" w:rsidP="00AB4E41">
      <w:pPr>
        <w:ind w:right="18"/>
        <w:jc w:val="center"/>
        <w:rPr>
          <w:rFonts w:ascii="Times New Roman" w:hAnsi="Times New Roman"/>
          <w:b/>
          <w:sz w:val="44"/>
        </w:rPr>
      </w:pPr>
    </w:p>
    <w:p w:rsidR="00907EDD" w:rsidRDefault="00907EDD" w:rsidP="00AB4E41">
      <w:pPr>
        <w:ind w:right="18"/>
        <w:jc w:val="center"/>
        <w:rPr>
          <w:rFonts w:ascii="Times New Roman" w:hAnsi="Times New Roman"/>
          <w:b/>
          <w:sz w:val="44"/>
        </w:rPr>
      </w:pPr>
    </w:p>
    <w:p w:rsidR="00907EDD" w:rsidRDefault="00907EDD" w:rsidP="00AB4E41">
      <w:pPr>
        <w:ind w:right="18"/>
        <w:jc w:val="center"/>
        <w:rPr>
          <w:rFonts w:ascii="Times New Roman" w:hAnsi="Times New Roman"/>
          <w:b/>
          <w:sz w:val="44"/>
        </w:rPr>
      </w:pPr>
    </w:p>
    <w:p w:rsidR="00907EDD" w:rsidRDefault="00907EDD" w:rsidP="00AB4E41">
      <w:pPr>
        <w:ind w:right="18"/>
        <w:jc w:val="center"/>
        <w:rPr>
          <w:rFonts w:ascii="Times New Roman" w:hAnsi="Times New Roman"/>
          <w:b/>
          <w:sz w:val="44"/>
        </w:rPr>
      </w:pPr>
    </w:p>
    <w:p w:rsidR="00907EDD" w:rsidRDefault="00907EDD" w:rsidP="00AB4E41">
      <w:pPr>
        <w:ind w:right="18"/>
        <w:jc w:val="center"/>
        <w:rPr>
          <w:rFonts w:ascii="Times New Roman" w:hAnsi="Times New Roman"/>
          <w:b/>
          <w:sz w:val="44"/>
        </w:rPr>
      </w:pPr>
    </w:p>
    <w:p w:rsidR="00AB4E41" w:rsidRDefault="00AB4E41" w:rsidP="00AB4E41">
      <w:pPr>
        <w:spacing w:before="120" w:after="120" w:line="240" w:lineRule="auto"/>
        <w:rPr>
          <w:rFonts w:ascii="Times New Roman" w:hAnsi="Times New Roman"/>
          <w:b/>
          <w:sz w:val="32"/>
          <w:szCs w:val="24"/>
        </w:rPr>
        <w:sectPr w:rsidR="00AB4E41" w:rsidSect="00907EDD">
          <w:footerReference w:type="even" r:id="rId9"/>
          <w:footerReference w:type="default" r:id="rId10"/>
          <w:type w:val="continuous"/>
          <w:pgSz w:w="11906" w:h="16838"/>
          <w:pgMar w:top="1417" w:right="566" w:bottom="1417" w:left="709" w:header="708" w:footer="340" w:gutter="0"/>
          <w:cols w:num="2" w:space="427"/>
          <w:docGrid w:linePitch="360"/>
        </w:sectPr>
      </w:pPr>
    </w:p>
    <w:p w:rsidR="00AB4E41" w:rsidRDefault="00AB4E41" w:rsidP="007E3D23">
      <w:pPr>
        <w:rPr>
          <w:rFonts w:ascii="Times New Roman" w:hAnsi="Times New Roman"/>
          <w:b/>
          <w:sz w:val="32"/>
          <w:szCs w:val="24"/>
        </w:rPr>
        <w:sectPr w:rsidR="00AB4E41" w:rsidSect="00907EDD">
          <w:type w:val="continuous"/>
          <w:pgSz w:w="11906" w:h="16838"/>
          <w:pgMar w:top="1417" w:right="566" w:bottom="993" w:left="709" w:header="708" w:footer="708" w:gutter="0"/>
          <w:cols w:space="427"/>
          <w:docGrid w:linePitch="360"/>
        </w:sectPr>
      </w:pPr>
    </w:p>
    <w:p w:rsidR="00907EDD" w:rsidRDefault="00907EDD" w:rsidP="001F5FA8">
      <w:pPr>
        <w:spacing w:before="120" w:after="120" w:line="240" w:lineRule="auto"/>
        <w:jc w:val="center"/>
        <w:rPr>
          <w:rFonts w:ascii="Times New Roman" w:hAnsi="Times New Roman"/>
          <w:b/>
          <w:sz w:val="32"/>
          <w:szCs w:val="24"/>
        </w:rPr>
      </w:pPr>
    </w:p>
    <w:tbl>
      <w:tblPr>
        <w:tblpPr w:leftFromText="141" w:rightFromText="141" w:vertAnchor="text" w:horzAnchor="margin" w:tblpXSpec="center" w:tblpY="1985"/>
        <w:tblW w:w="10881" w:type="dxa"/>
        <w:tblLook w:val="04A0" w:firstRow="1" w:lastRow="0" w:firstColumn="1" w:lastColumn="0" w:noHBand="0" w:noVBand="1"/>
      </w:tblPr>
      <w:tblGrid>
        <w:gridCol w:w="3510"/>
        <w:gridCol w:w="3969"/>
        <w:gridCol w:w="3402"/>
      </w:tblGrid>
      <w:tr w:rsidR="00907EDD" w:rsidRPr="005D5359" w:rsidTr="004E1C26">
        <w:trPr>
          <w:trHeight w:val="274"/>
        </w:trPr>
        <w:tc>
          <w:tcPr>
            <w:tcW w:w="10881" w:type="dxa"/>
            <w:gridSpan w:val="3"/>
            <w:vAlign w:val="center"/>
          </w:tcPr>
          <w:p w:rsidR="00907EDD" w:rsidRPr="005D5359" w:rsidRDefault="00907EDD" w:rsidP="004E1C26">
            <w:pPr>
              <w:spacing w:line="240" w:lineRule="auto"/>
              <w:jc w:val="center"/>
              <w:rPr>
                <w:rFonts w:ascii="Garamond" w:hAnsi="Garamond"/>
                <w:b/>
              </w:rPr>
            </w:pPr>
            <w:r w:rsidRPr="005D5359">
              <w:rPr>
                <w:rFonts w:ascii="Garamond" w:hAnsi="Garamond"/>
                <w:b/>
              </w:rPr>
              <w:t>BİLİM KURULU/SCIENTIFIC BOARD</w:t>
            </w:r>
          </w:p>
        </w:tc>
      </w:tr>
      <w:tr w:rsidR="00907EDD" w:rsidRPr="005D5359" w:rsidTr="004E1C26">
        <w:trPr>
          <w:trHeight w:val="231"/>
        </w:trPr>
        <w:tc>
          <w:tcPr>
            <w:tcW w:w="3510" w:type="dxa"/>
          </w:tcPr>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 xml:space="preserve">Fikret Adaman/Boğaziçi Üni. </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Osman Nuri Ağdağ/Pamukkale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İdil Arslan Alaton/İTÜ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Erdem Albek/Anadolu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Nesrin Algan/Ankara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İbrahim Alyanak/PAP</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Güler Aras/YTÜ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Tamer Atabarut/Boğaziçi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Semra Atabay/YTÜ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Hüsnü Atakül/İTÜ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Aysel Atımtay/ODTÜ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Azize Ayol/Dokuz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Önder Ayyıldız/Onsekiz Mart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Nuri Azbar/Ege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Fatoş Germirli Babuna/İTÜ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Gülfem Bakan/Ondokuz Mayıs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Ulusoy Bali/Cumhuriyet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Nilgün Balkaya/İstanbul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Müfide Banar/Anadolu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Mehmet Borat/Fatih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Nurdan Büyükkamacı/Dokuz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Avni Çakıcı/Atatürk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Mehmet Çakmakçı/Yıldız Teknik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Barış Çallı/Marmara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Eyüp Debik/YTÜ</w:t>
            </w:r>
          </w:p>
          <w:p w:rsidR="00907EDD" w:rsidRDefault="00907EDD" w:rsidP="004E1C26">
            <w:pPr>
              <w:spacing w:after="0" w:line="240" w:lineRule="auto"/>
              <w:rPr>
                <w:rFonts w:ascii="Garamond" w:hAnsi="Garamond"/>
                <w:sz w:val="20"/>
                <w:szCs w:val="20"/>
              </w:rPr>
            </w:pPr>
            <w:r w:rsidRPr="005D5359">
              <w:rPr>
                <w:rFonts w:ascii="Garamond" w:hAnsi="Garamond"/>
                <w:sz w:val="20"/>
                <w:szCs w:val="20"/>
              </w:rPr>
              <w:t>Ahmet Demir/YTÜ</w:t>
            </w:r>
          </w:p>
          <w:p w:rsidR="00907EDD" w:rsidRPr="005D5359" w:rsidRDefault="00907EDD" w:rsidP="004E1C26">
            <w:pPr>
              <w:spacing w:after="0" w:line="240" w:lineRule="auto"/>
              <w:rPr>
                <w:rFonts w:ascii="Garamond" w:hAnsi="Garamond"/>
                <w:sz w:val="20"/>
                <w:szCs w:val="20"/>
              </w:rPr>
            </w:pPr>
            <w:r>
              <w:rPr>
                <w:rFonts w:ascii="Garamond" w:hAnsi="Garamond"/>
                <w:sz w:val="20"/>
                <w:szCs w:val="20"/>
              </w:rPr>
              <w:t>Göksel Demir/Bahçeşehir ünivsersitesi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Mustafa Değirmenci/Cumhuriyet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Tuncay Döğeroğlu/Anadolu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Deniz Dölgen/Dokuz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Ertan Durmuşoğlu/Kocaeli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Arzu Y. Dursun/Fırat Üni.</w:t>
            </w:r>
          </w:p>
          <w:p w:rsidR="00907EDD" w:rsidRPr="005D5359" w:rsidRDefault="00907EDD" w:rsidP="004E1C26">
            <w:pPr>
              <w:spacing w:after="0" w:line="240" w:lineRule="auto"/>
              <w:rPr>
                <w:rFonts w:ascii="Garamond" w:hAnsi="Garamond"/>
                <w:sz w:val="20"/>
                <w:szCs w:val="20"/>
              </w:rPr>
            </w:pPr>
          </w:p>
        </w:tc>
        <w:tc>
          <w:tcPr>
            <w:tcW w:w="3969" w:type="dxa"/>
          </w:tcPr>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İsfendiyar Egeli/İzmir YTE</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Ekrem Ekinci/Işık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Ertuğrul Erdin/Dokuz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Hünay Evliya/Çukurova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Ayşe Filibeli/Dokuz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Hüseyin Gökçekuş/Yakın Doğu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M. Talha Gönüllü/YTÜ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 xml:space="preserve">Sami Gören/Fatih Üni. </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Erdem Görgün/İTÜ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Burcu Özkaraova Güngör/Ondokuz Mayıs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Mirat Gürol/Gebze YTE</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Şebnem Harsa/İzmir YTE</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Halil Hasar/Fatih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Gönül Tuğrul İçemer/Akdeniz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Orhan İnce/İTÜ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 xml:space="preserve">Ubeyde İpek/Fırat Üni. </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Ayşegül İyilikçi Pala/Dokuz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Işık Kabdaşlı/İTÜ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Emine Erman Kara/Niğde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Feza Karaer/Uludağ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Ali Rıza Kaylan/Boğaziçi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Bülent Keskinler/Gebze YTE</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Cumali Kınacı/İTÜ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Mehmet Kitiş/Süleyman Demirel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Günay Kocasoy/Boğaziçi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Nurcan Köleli/Mersin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Erhun Kula/Bahçeşehir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Sadriye Küçükbayrak/İTÜ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Enver Yaser Küçükgül/Dokuz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Ayşegül Latifoğlu/Hacettepe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Ayşe Muhammetoğlu/Akdeniz Üni.</w:t>
            </w:r>
          </w:p>
          <w:p w:rsidR="00907EDD" w:rsidRPr="005D5359" w:rsidRDefault="00907EDD" w:rsidP="004E1C26">
            <w:pPr>
              <w:spacing w:after="0" w:line="240" w:lineRule="auto"/>
              <w:rPr>
                <w:rFonts w:ascii="Garamond" w:hAnsi="Garamond"/>
                <w:sz w:val="20"/>
                <w:szCs w:val="20"/>
              </w:rPr>
            </w:pPr>
          </w:p>
          <w:p w:rsidR="00907EDD" w:rsidRPr="005D5359" w:rsidRDefault="00907EDD" w:rsidP="004E1C26">
            <w:pPr>
              <w:spacing w:after="0" w:line="240" w:lineRule="auto"/>
              <w:rPr>
                <w:rFonts w:ascii="Garamond" w:hAnsi="Garamond"/>
                <w:sz w:val="20"/>
                <w:szCs w:val="20"/>
              </w:rPr>
            </w:pPr>
          </w:p>
          <w:p w:rsidR="00907EDD" w:rsidRPr="005D5359" w:rsidRDefault="00907EDD" w:rsidP="004E1C26">
            <w:pPr>
              <w:spacing w:after="0" w:line="240" w:lineRule="auto"/>
              <w:rPr>
                <w:rFonts w:ascii="Garamond" w:hAnsi="Garamond"/>
                <w:sz w:val="20"/>
                <w:szCs w:val="20"/>
              </w:rPr>
            </w:pPr>
          </w:p>
          <w:p w:rsidR="00907EDD" w:rsidRPr="005D5359" w:rsidRDefault="00907EDD" w:rsidP="004E1C26">
            <w:pPr>
              <w:spacing w:after="0" w:line="240" w:lineRule="auto"/>
              <w:rPr>
                <w:rFonts w:ascii="Garamond" w:hAnsi="Garamond"/>
                <w:sz w:val="20"/>
                <w:szCs w:val="20"/>
              </w:rPr>
            </w:pPr>
          </w:p>
        </w:tc>
        <w:tc>
          <w:tcPr>
            <w:tcW w:w="3402" w:type="dxa"/>
          </w:tcPr>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Aysen Müezzinoğlu/Dokuz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İrem Nuhoğlu/Boğaziçi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Hasancan Okutan/İTÜ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Begüm Özkaynak/Boğaziçi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Cengiz Özmetin/Balıkesir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İbrahim Peker/Erciyes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Altunay Perendeci/Akdeniz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Ahmet Samsunlu/İTÜ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Dilek Sanin/ODTÜ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Hüseyin Selçuk/Pamukkale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Delya Sponza/Dokuz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Erkan Şahinkaya/Harran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Nusret Şekerdağ/Fatih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Ayşegül Baysal Tanık/İTÜ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Mete Tayanç/Uluslararası Kıbrıs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Sevgi Tokgöz Güneş/Dokuz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Bülent Topkaya/Akdeniz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Zerrin Toprak/Dokuz Eylül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İsmail Toröz/İTÜ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İsmail Tosun/Süleyman Demirel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Olcay Tünay/İTÜ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Selnur Uçaroğlu/Uludağ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Ayşenur Uğurlu/Hacettepe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Orhan Uslu/Bahçeşehir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Ayhan Ünlü/Fırat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M. İrfan Yeşilnacar/Harran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Ülkü Yetiş/ODTÜ</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Zeynep Yöntem/Ekodenge</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Ahmet Yüceer/Çukurova Üni.</w:t>
            </w:r>
          </w:p>
          <w:p w:rsidR="00907EDD" w:rsidRPr="005D5359" w:rsidRDefault="00907EDD" w:rsidP="004E1C26">
            <w:pPr>
              <w:spacing w:after="0" w:line="240" w:lineRule="auto"/>
              <w:rPr>
                <w:rFonts w:ascii="Garamond" w:hAnsi="Garamond"/>
                <w:sz w:val="20"/>
                <w:szCs w:val="20"/>
              </w:rPr>
            </w:pPr>
            <w:r w:rsidRPr="005D5359">
              <w:rPr>
                <w:rFonts w:ascii="Garamond" w:hAnsi="Garamond"/>
                <w:sz w:val="20"/>
                <w:szCs w:val="20"/>
              </w:rPr>
              <w:t>Zeynep Zaimoğlu/Çukurova Üni.</w:t>
            </w:r>
          </w:p>
        </w:tc>
      </w:tr>
    </w:tbl>
    <w:p w:rsidR="00907EDD" w:rsidRDefault="00907EDD">
      <w:pPr>
        <w:rPr>
          <w:rFonts w:ascii="Times New Roman" w:hAnsi="Times New Roman"/>
          <w:b/>
          <w:sz w:val="32"/>
          <w:szCs w:val="24"/>
        </w:rPr>
      </w:pPr>
      <w:r>
        <w:rPr>
          <w:rFonts w:ascii="Times New Roman" w:hAnsi="Times New Roman"/>
          <w:b/>
          <w:sz w:val="32"/>
          <w:szCs w:val="24"/>
        </w:rPr>
        <w:br w:type="page"/>
      </w:r>
    </w:p>
    <w:p w:rsidR="00783E28" w:rsidRDefault="00783E28" w:rsidP="001F5FA8">
      <w:pPr>
        <w:spacing w:before="120" w:after="120" w:line="240" w:lineRule="auto"/>
        <w:jc w:val="center"/>
        <w:rPr>
          <w:rFonts w:ascii="Times New Roman" w:hAnsi="Times New Roman"/>
          <w:b/>
          <w:sz w:val="32"/>
          <w:szCs w:val="24"/>
        </w:rPr>
      </w:pPr>
    </w:p>
    <w:p w:rsidR="00AB4E41" w:rsidRDefault="00AB4E41" w:rsidP="001F5FA8">
      <w:pPr>
        <w:spacing w:before="120" w:after="120" w:line="240" w:lineRule="auto"/>
        <w:jc w:val="center"/>
        <w:rPr>
          <w:rFonts w:ascii="Times New Roman" w:hAnsi="Times New Roman"/>
          <w:b/>
          <w:sz w:val="32"/>
          <w:szCs w:val="24"/>
        </w:rPr>
      </w:pPr>
    </w:p>
    <w:p w:rsidR="001F5FA8" w:rsidRPr="002744C6" w:rsidRDefault="001F5FA8" w:rsidP="001F5FA8">
      <w:pPr>
        <w:spacing w:before="120" w:after="120" w:line="240" w:lineRule="auto"/>
        <w:jc w:val="center"/>
        <w:rPr>
          <w:rFonts w:ascii="Times New Roman" w:hAnsi="Times New Roman"/>
          <w:b/>
          <w:sz w:val="32"/>
          <w:szCs w:val="24"/>
        </w:rPr>
      </w:pPr>
      <w:r w:rsidRPr="002744C6">
        <w:rPr>
          <w:rFonts w:ascii="Times New Roman" w:hAnsi="Times New Roman"/>
          <w:b/>
          <w:sz w:val="32"/>
          <w:szCs w:val="24"/>
        </w:rPr>
        <w:t>KATI ATIK DEPOLAMA ALANLARI SIZINTI SULARINDAN KAYNAKLANAN KİRLİLİK YÜKLERİNİN TESPİTİ,                 ÖRNEK ÇALIŞMA: BURDUR HAVZASI</w:t>
      </w:r>
    </w:p>
    <w:p w:rsidR="001F5FA8" w:rsidRPr="00D6441B" w:rsidRDefault="001F5FA8" w:rsidP="001F5FA8">
      <w:pPr>
        <w:spacing w:before="120" w:after="120" w:line="240" w:lineRule="auto"/>
        <w:jc w:val="both"/>
        <w:rPr>
          <w:rFonts w:ascii="Times New Roman" w:hAnsi="Times New Roman"/>
          <w:b/>
          <w:sz w:val="24"/>
          <w:szCs w:val="24"/>
        </w:rPr>
      </w:pPr>
    </w:p>
    <w:p w:rsidR="001F5FA8" w:rsidRPr="002744C6" w:rsidRDefault="001F5FA8" w:rsidP="001F5FA8">
      <w:pPr>
        <w:spacing w:before="120" w:after="120" w:line="240" w:lineRule="auto"/>
        <w:jc w:val="both"/>
        <w:rPr>
          <w:rFonts w:ascii="Times New Roman" w:hAnsi="Times New Roman"/>
          <w:b/>
          <w:sz w:val="24"/>
          <w:szCs w:val="24"/>
          <w:vertAlign w:val="superscript"/>
        </w:rPr>
      </w:pPr>
      <w:r w:rsidRPr="00D6441B">
        <w:rPr>
          <w:rFonts w:ascii="Times New Roman" w:hAnsi="Times New Roman"/>
          <w:b/>
          <w:sz w:val="24"/>
          <w:szCs w:val="24"/>
        </w:rPr>
        <w:t>Selma Ayaz</w:t>
      </w:r>
      <w:r w:rsidRPr="00D6441B">
        <w:rPr>
          <w:rFonts w:ascii="Times New Roman" w:hAnsi="Times New Roman"/>
          <w:b/>
          <w:sz w:val="24"/>
          <w:szCs w:val="24"/>
          <w:vertAlign w:val="superscript"/>
        </w:rPr>
        <w:t>1</w:t>
      </w:r>
      <w:r w:rsidRPr="00D6441B">
        <w:rPr>
          <w:rFonts w:ascii="Times New Roman" w:hAnsi="Times New Roman"/>
          <w:b/>
          <w:sz w:val="24"/>
          <w:szCs w:val="24"/>
        </w:rPr>
        <w:t>, Nail Erdoğan</w:t>
      </w:r>
      <w:r w:rsidRPr="00D6441B">
        <w:rPr>
          <w:rFonts w:ascii="Times New Roman" w:hAnsi="Times New Roman"/>
          <w:b/>
          <w:sz w:val="24"/>
          <w:szCs w:val="24"/>
          <w:vertAlign w:val="superscript"/>
        </w:rPr>
        <w:t>1</w:t>
      </w:r>
      <w:r w:rsidRPr="00D6441B">
        <w:rPr>
          <w:rFonts w:ascii="Times New Roman" w:hAnsi="Times New Roman"/>
          <w:b/>
          <w:sz w:val="24"/>
          <w:szCs w:val="24"/>
        </w:rPr>
        <w:t>, B. Hande Gürsoy</w:t>
      </w:r>
      <w:r w:rsidRPr="00D6441B">
        <w:rPr>
          <w:rFonts w:ascii="Times New Roman" w:hAnsi="Times New Roman"/>
          <w:b/>
          <w:sz w:val="24"/>
          <w:szCs w:val="24"/>
          <w:vertAlign w:val="superscript"/>
        </w:rPr>
        <w:t>1</w:t>
      </w:r>
      <w:r w:rsidRPr="00D6441B">
        <w:rPr>
          <w:rFonts w:ascii="Times New Roman" w:hAnsi="Times New Roman"/>
          <w:b/>
          <w:sz w:val="24"/>
          <w:szCs w:val="24"/>
        </w:rPr>
        <w:t>, Elif Atasoy</w:t>
      </w:r>
      <w:r w:rsidRPr="00D6441B">
        <w:rPr>
          <w:rFonts w:ascii="Times New Roman" w:hAnsi="Times New Roman"/>
          <w:b/>
          <w:sz w:val="24"/>
          <w:szCs w:val="24"/>
          <w:vertAlign w:val="superscript"/>
        </w:rPr>
        <w:t>1</w:t>
      </w:r>
      <w:r w:rsidRPr="00D6441B">
        <w:rPr>
          <w:rFonts w:ascii="Times New Roman" w:hAnsi="Times New Roman"/>
          <w:b/>
          <w:sz w:val="24"/>
          <w:szCs w:val="24"/>
        </w:rPr>
        <w:t>, Cihangir Aydöner</w:t>
      </w:r>
      <w:r w:rsidRPr="00D6441B">
        <w:rPr>
          <w:rFonts w:ascii="Times New Roman" w:hAnsi="Times New Roman"/>
          <w:b/>
          <w:sz w:val="24"/>
          <w:szCs w:val="24"/>
          <w:vertAlign w:val="superscript"/>
        </w:rPr>
        <w:t>1</w:t>
      </w:r>
      <w:r w:rsidRPr="00D6441B">
        <w:rPr>
          <w:rFonts w:ascii="Times New Roman" w:hAnsi="Times New Roman"/>
          <w:b/>
          <w:sz w:val="24"/>
          <w:szCs w:val="24"/>
        </w:rPr>
        <w:t>, İzzet Öztürk</w:t>
      </w:r>
      <w:r w:rsidRPr="00D6441B">
        <w:rPr>
          <w:rFonts w:ascii="Times New Roman" w:hAnsi="Times New Roman"/>
          <w:b/>
          <w:sz w:val="24"/>
          <w:szCs w:val="24"/>
          <w:vertAlign w:val="superscript"/>
        </w:rPr>
        <w:t>2</w:t>
      </w:r>
      <w:r w:rsidRPr="00D6441B">
        <w:rPr>
          <w:rFonts w:ascii="Times New Roman" w:hAnsi="Times New Roman"/>
          <w:b/>
          <w:sz w:val="24"/>
          <w:szCs w:val="24"/>
        </w:rPr>
        <w:t>, Nermin Çiçek</w:t>
      </w:r>
      <w:r w:rsidRPr="00D6441B">
        <w:rPr>
          <w:rFonts w:ascii="Times New Roman" w:hAnsi="Times New Roman"/>
          <w:b/>
          <w:sz w:val="24"/>
          <w:szCs w:val="24"/>
          <w:vertAlign w:val="superscript"/>
        </w:rPr>
        <w:t>3</w:t>
      </w:r>
      <w:r w:rsidRPr="00D6441B">
        <w:rPr>
          <w:rFonts w:ascii="Times New Roman" w:hAnsi="Times New Roman"/>
          <w:b/>
          <w:sz w:val="24"/>
          <w:szCs w:val="24"/>
        </w:rPr>
        <w:t>, Lütfi Akça</w:t>
      </w:r>
      <w:r w:rsidRPr="00D6441B">
        <w:rPr>
          <w:rFonts w:ascii="Times New Roman" w:hAnsi="Times New Roman"/>
          <w:b/>
          <w:sz w:val="24"/>
          <w:szCs w:val="24"/>
          <w:vertAlign w:val="superscript"/>
        </w:rPr>
        <w:t>3</w:t>
      </w:r>
    </w:p>
    <w:p w:rsidR="001F5FA8" w:rsidRPr="00D6441B" w:rsidRDefault="001F5FA8" w:rsidP="001F5FA8">
      <w:pPr>
        <w:widowControl w:val="0"/>
        <w:snapToGrid w:val="0"/>
        <w:spacing w:after="0" w:line="240" w:lineRule="auto"/>
        <w:jc w:val="both"/>
        <w:rPr>
          <w:rFonts w:ascii="Times New Roman" w:hAnsi="Times New Roman"/>
          <w:sz w:val="24"/>
          <w:szCs w:val="24"/>
          <w:lang w:val="en-US" w:eastAsia="tr-TR"/>
        </w:rPr>
      </w:pPr>
      <w:r w:rsidRPr="00D6441B">
        <w:rPr>
          <w:rFonts w:ascii="Times New Roman" w:hAnsi="Times New Roman"/>
          <w:b/>
          <w:sz w:val="24"/>
          <w:szCs w:val="24"/>
          <w:vertAlign w:val="superscript"/>
        </w:rPr>
        <w:t>1</w:t>
      </w:r>
      <w:r w:rsidRPr="00D6441B">
        <w:rPr>
          <w:rFonts w:ascii="Times New Roman" w:hAnsi="Times New Roman"/>
          <w:sz w:val="24"/>
          <w:szCs w:val="24"/>
          <w:lang w:val="en-US" w:eastAsia="tr-TR"/>
        </w:rPr>
        <w:t>TÜBİTAK MAM Çevre Enstitüsü, Gebze</w:t>
      </w:r>
      <w:r>
        <w:rPr>
          <w:rFonts w:ascii="Times New Roman" w:hAnsi="Times New Roman"/>
          <w:sz w:val="24"/>
          <w:szCs w:val="24"/>
          <w:lang w:val="en-US" w:eastAsia="tr-TR"/>
        </w:rPr>
        <w:t>,</w:t>
      </w:r>
      <w:r w:rsidRPr="00D6441B">
        <w:rPr>
          <w:rFonts w:ascii="Times New Roman" w:hAnsi="Times New Roman"/>
          <w:sz w:val="24"/>
          <w:szCs w:val="24"/>
          <w:lang w:val="en-US" w:eastAsia="tr-TR"/>
        </w:rPr>
        <w:t xml:space="preserve"> Kocaeli</w:t>
      </w:r>
    </w:p>
    <w:p w:rsidR="001F5FA8" w:rsidRDefault="001F5FA8" w:rsidP="001F5FA8">
      <w:pPr>
        <w:widowControl w:val="0"/>
        <w:snapToGrid w:val="0"/>
        <w:spacing w:after="0" w:line="240" w:lineRule="auto"/>
        <w:jc w:val="both"/>
        <w:rPr>
          <w:rFonts w:ascii="Times New Roman" w:hAnsi="Times New Roman"/>
          <w:b/>
          <w:sz w:val="24"/>
          <w:szCs w:val="24"/>
          <w:vertAlign w:val="superscript"/>
        </w:rPr>
      </w:pPr>
      <w:r w:rsidRPr="00D6441B">
        <w:rPr>
          <w:rFonts w:ascii="Times New Roman" w:hAnsi="Times New Roman"/>
          <w:b/>
          <w:sz w:val="24"/>
          <w:szCs w:val="24"/>
          <w:vertAlign w:val="superscript"/>
        </w:rPr>
        <w:t>2</w:t>
      </w:r>
      <w:r w:rsidRPr="00D6441B">
        <w:rPr>
          <w:rFonts w:ascii="Times New Roman" w:eastAsia="MS Mincho" w:hAnsi="Times New Roman"/>
          <w:sz w:val="24"/>
          <w:szCs w:val="24"/>
          <w:lang w:val="en-GB" w:eastAsia="ja-JP"/>
        </w:rPr>
        <w:t>İstanbul Teknik Üniversitesi İnşaat Fakültesi Çevre Mühendisliği Bölümü 80626 Ayazağa, İstanbul</w:t>
      </w:r>
    </w:p>
    <w:p w:rsidR="001F5FA8" w:rsidRPr="00D6441B" w:rsidRDefault="001F5FA8" w:rsidP="001F5FA8">
      <w:pPr>
        <w:widowControl w:val="0"/>
        <w:snapToGrid w:val="0"/>
        <w:spacing w:after="0" w:line="240" w:lineRule="auto"/>
        <w:jc w:val="both"/>
        <w:rPr>
          <w:rFonts w:ascii="Times New Roman" w:hAnsi="Times New Roman"/>
          <w:sz w:val="24"/>
          <w:szCs w:val="24"/>
          <w:lang w:val="en-GB" w:eastAsia="tr-TR"/>
        </w:rPr>
      </w:pPr>
      <w:r w:rsidRPr="00D6441B">
        <w:rPr>
          <w:rFonts w:ascii="Times New Roman" w:hAnsi="Times New Roman"/>
          <w:b/>
          <w:sz w:val="24"/>
          <w:szCs w:val="24"/>
          <w:vertAlign w:val="superscript"/>
        </w:rPr>
        <w:t>3</w:t>
      </w:r>
      <w:r w:rsidRPr="00D6441B">
        <w:rPr>
          <w:rFonts w:ascii="Times New Roman" w:hAnsi="Times New Roman"/>
          <w:sz w:val="24"/>
          <w:szCs w:val="24"/>
          <w:lang w:val="en-GB" w:eastAsia="tr-TR"/>
        </w:rPr>
        <w:t>Çevre ve Orman Bakanlığı, Ankara</w:t>
      </w:r>
    </w:p>
    <w:p w:rsidR="001F5FA8" w:rsidRPr="00D6441B" w:rsidRDefault="001F5FA8" w:rsidP="001F5FA8">
      <w:pPr>
        <w:widowControl w:val="0"/>
        <w:snapToGrid w:val="0"/>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Özet</w:t>
      </w:r>
    </w:p>
    <w:p w:rsidR="001F5FA8" w:rsidRPr="002744C6"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Bu çalışma kapsamında saha çalışmalarında düzenli ve düzensiz katı atık depolama alanlarının yerleri tespit edilmiş, coğrafi bilgi sistemi vasıtasıyla haritalara işlenmiştir. Atık miktarının ilgili Ulusal ve Avrupa Birliği (AB) mevzuatında öngörülen şekilde 2010-2040 yılları arasında değişimi ortaya konmuştur. Bu süreçte düzenli depolama tesislerinin kurulması, katı atık miktarının azaltılması, geri kazanımın sağlanması, katı atık taşıma giderlerinin düşürülmesi ve gerektiğinde uygun teknolojiye sahip aktarma merkezlerinin kullanılması dikkate alınmıştır. Bu kapsamda havzanın nüfusu (mevcut ve gelecekteki), topografyası, yol durumu, yağış miktarı ve katı atığın depolandığı alan değerlendirilerek hesaplamalar yapılmıştır. Düzenli depolama alanlarından kaynaklanan kirlilik yükünün noktasal; düzensiz depolama alanlarından kaynaklanan kirlilik yükünün ise yayılı olduğu kabul edilmiştir. Ayrıca rehabilite edilmiş düzensiz depolama alanlarından gelen kirlilik yükünün bir kısmı noktasal; bir kısmı yayılı kirletici yük olarak alınmıştır. 2010 yılı için katı atıklardan kaynaklanan noktasal sızıntı suyu yükleri sırası ile KOİ için 149, TN için 37, TP için ise 0,37 ton/yıl değerinde iken,</w:t>
      </w:r>
      <w:r w:rsidRPr="00D6441B">
        <w:rPr>
          <w:rFonts w:ascii="Times New Roman" w:eastAsia="TimesNewRoman" w:hAnsi="Times New Roman"/>
          <w:sz w:val="24"/>
          <w:szCs w:val="24"/>
          <w:lang w:eastAsia="tr-TR"/>
        </w:rPr>
        <w:t xml:space="preserve"> yayılı sızıntı suyu yükleri ise TN için 66, TP için ise 1,6 ton/yıl’dır.</w:t>
      </w:r>
    </w:p>
    <w:p w:rsidR="001F5FA8" w:rsidRPr="002744C6" w:rsidRDefault="001F5FA8" w:rsidP="001F5FA8">
      <w:pPr>
        <w:spacing w:before="120" w:after="120" w:line="240" w:lineRule="auto"/>
        <w:jc w:val="both"/>
        <w:rPr>
          <w:rFonts w:ascii="Times New Roman" w:hAnsi="Times New Roman"/>
          <w:i/>
          <w:sz w:val="24"/>
          <w:szCs w:val="24"/>
        </w:rPr>
      </w:pPr>
      <w:r w:rsidRPr="002744C6">
        <w:rPr>
          <w:rFonts w:ascii="Times New Roman" w:hAnsi="Times New Roman"/>
          <w:b/>
          <w:i/>
          <w:sz w:val="24"/>
          <w:szCs w:val="24"/>
        </w:rPr>
        <w:t>Anahtar Kelimeler:</w:t>
      </w:r>
      <w:r w:rsidRPr="002744C6">
        <w:rPr>
          <w:rFonts w:ascii="Times New Roman" w:hAnsi="Times New Roman"/>
          <w:i/>
          <w:sz w:val="24"/>
          <w:szCs w:val="24"/>
        </w:rPr>
        <w:t xml:space="preserve"> Katı </w:t>
      </w:r>
      <w:r>
        <w:rPr>
          <w:rFonts w:ascii="Times New Roman" w:hAnsi="Times New Roman"/>
          <w:i/>
          <w:sz w:val="24"/>
          <w:szCs w:val="24"/>
        </w:rPr>
        <w:t>a</w:t>
      </w:r>
      <w:r w:rsidRPr="002744C6">
        <w:rPr>
          <w:rFonts w:ascii="Times New Roman" w:hAnsi="Times New Roman"/>
          <w:i/>
          <w:sz w:val="24"/>
          <w:szCs w:val="24"/>
        </w:rPr>
        <w:t xml:space="preserve">tık, </w:t>
      </w:r>
      <w:r>
        <w:rPr>
          <w:rFonts w:ascii="Times New Roman" w:hAnsi="Times New Roman"/>
          <w:i/>
          <w:sz w:val="24"/>
          <w:szCs w:val="24"/>
        </w:rPr>
        <w:t>n</w:t>
      </w:r>
      <w:r w:rsidRPr="002744C6">
        <w:rPr>
          <w:rFonts w:ascii="Times New Roman" w:hAnsi="Times New Roman"/>
          <w:i/>
          <w:sz w:val="24"/>
          <w:szCs w:val="24"/>
        </w:rPr>
        <w:t xml:space="preserve">oktasal </w:t>
      </w:r>
      <w:r>
        <w:rPr>
          <w:rFonts w:ascii="Times New Roman" w:hAnsi="Times New Roman"/>
          <w:i/>
          <w:sz w:val="24"/>
          <w:szCs w:val="24"/>
        </w:rPr>
        <w:t>k</w:t>
      </w:r>
      <w:r w:rsidRPr="002744C6">
        <w:rPr>
          <w:rFonts w:ascii="Times New Roman" w:hAnsi="Times New Roman"/>
          <w:i/>
          <w:sz w:val="24"/>
          <w:szCs w:val="24"/>
        </w:rPr>
        <w:t xml:space="preserve">irlilik </w:t>
      </w:r>
      <w:r>
        <w:rPr>
          <w:rFonts w:ascii="Times New Roman" w:hAnsi="Times New Roman"/>
          <w:i/>
          <w:sz w:val="24"/>
          <w:szCs w:val="24"/>
        </w:rPr>
        <w:t>yükü, s</w:t>
      </w:r>
      <w:r w:rsidRPr="002744C6">
        <w:rPr>
          <w:rFonts w:ascii="Times New Roman" w:hAnsi="Times New Roman"/>
          <w:i/>
          <w:sz w:val="24"/>
          <w:szCs w:val="24"/>
        </w:rPr>
        <w:t xml:space="preserve">ızıntı </w:t>
      </w:r>
      <w:r>
        <w:rPr>
          <w:rFonts w:ascii="Times New Roman" w:hAnsi="Times New Roman"/>
          <w:i/>
          <w:sz w:val="24"/>
          <w:szCs w:val="24"/>
        </w:rPr>
        <w:t>s</w:t>
      </w:r>
      <w:r w:rsidRPr="002744C6">
        <w:rPr>
          <w:rFonts w:ascii="Times New Roman" w:hAnsi="Times New Roman"/>
          <w:i/>
          <w:sz w:val="24"/>
          <w:szCs w:val="24"/>
        </w:rPr>
        <w:t>uyu</w:t>
      </w:r>
      <w:r>
        <w:rPr>
          <w:rFonts w:ascii="Times New Roman" w:hAnsi="Times New Roman"/>
          <w:i/>
          <w:sz w:val="24"/>
          <w:szCs w:val="24"/>
        </w:rPr>
        <w:t>, y</w:t>
      </w:r>
      <w:r w:rsidRPr="002744C6">
        <w:rPr>
          <w:rFonts w:ascii="Times New Roman" w:hAnsi="Times New Roman"/>
          <w:i/>
          <w:sz w:val="24"/>
          <w:szCs w:val="24"/>
        </w:rPr>
        <w:t>ayılı</w:t>
      </w:r>
      <w:r w:rsidRPr="00132769">
        <w:rPr>
          <w:rFonts w:ascii="Times New Roman" w:hAnsi="Times New Roman"/>
          <w:i/>
          <w:sz w:val="24"/>
          <w:szCs w:val="24"/>
        </w:rPr>
        <w:t xml:space="preserve"> </w:t>
      </w:r>
      <w:r>
        <w:rPr>
          <w:rFonts w:ascii="Times New Roman" w:hAnsi="Times New Roman"/>
          <w:i/>
          <w:sz w:val="24"/>
          <w:szCs w:val="24"/>
        </w:rPr>
        <w:t>k</w:t>
      </w:r>
      <w:r w:rsidRPr="002744C6">
        <w:rPr>
          <w:rFonts w:ascii="Times New Roman" w:hAnsi="Times New Roman"/>
          <w:i/>
          <w:sz w:val="24"/>
          <w:szCs w:val="24"/>
        </w:rPr>
        <w:t xml:space="preserve">irlilik </w:t>
      </w:r>
      <w:r>
        <w:rPr>
          <w:rFonts w:ascii="Times New Roman" w:hAnsi="Times New Roman"/>
          <w:i/>
          <w:sz w:val="24"/>
          <w:szCs w:val="24"/>
        </w:rPr>
        <w:t>y</w:t>
      </w:r>
      <w:r w:rsidRPr="002744C6">
        <w:rPr>
          <w:rFonts w:ascii="Times New Roman" w:hAnsi="Times New Roman"/>
          <w:i/>
          <w:sz w:val="24"/>
          <w:szCs w:val="24"/>
        </w:rPr>
        <w:t>ükü</w:t>
      </w:r>
    </w:p>
    <w:p w:rsidR="001F5FA8" w:rsidRPr="00D6441B" w:rsidRDefault="001F5FA8" w:rsidP="001F5FA8">
      <w:pPr>
        <w:spacing w:before="120" w:after="120" w:line="240" w:lineRule="auto"/>
        <w:jc w:val="both"/>
        <w:rPr>
          <w:rFonts w:ascii="Times New Roman" w:hAnsi="Times New Roman"/>
          <w:b/>
          <w:sz w:val="24"/>
          <w:szCs w:val="24"/>
        </w:rPr>
      </w:pPr>
    </w:p>
    <w:p w:rsidR="001F5FA8" w:rsidRPr="002744C6" w:rsidRDefault="001F5FA8" w:rsidP="001F5FA8">
      <w:pPr>
        <w:spacing w:before="120" w:after="120" w:line="240" w:lineRule="auto"/>
        <w:jc w:val="both"/>
        <w:rPr>
          <w:rFonts w:ascii="Times New Roman" w:hAnsi="Times New Roman"/>
          <w:b/>
          <w:sz w:val="28"/>
          <w:szCs w:val="24"/>
        </w:rPr>
      </w:pPr>
      <w:r w:rsidRPr="002744C6">
        <w:rPr>
          <w:rFonts w:ascii="Times New Roman" w:hAnsi="Times New Roman"/>
          <w:b/>
          <w:sz w:val="28"/>
          <w:szCs w:val="24"/>
        </w:rPr>
        <w:t>ASSESMENT OF LEACHATE POLLUTION ORIGINATED FRO</w:t>
      </w:r>
      <w:r w:rsidR="00BD213D">
        <w:rPr>
          <w:rFonts w:ascii="Times New Roman" w:hAnsi="Times New Roman"/>
          <w:b/>
          <w:sz w:val="28"/>
          <w:szCs w:val="24"/>
        </w:rPr>
        <w:t>M SOLID WASTE DISPOSAL,</w:t>
      </w:r>
      <w:r w:rsidRPr="002744C6">
        <w:rPr>
          <w:rFonts w:ascii="Times New Roman" w:hAnsi="Times New Roman"/>
          <w:b/>
          <w:sz w:val="28"/>
          <w:szCs w:val="24"/>
        </w:rPr>
        <w:t xml:space="preserve"> A CASE STUDY FOR BURDUR BASIN</w:t>
      </w:r>
    </w:p>
    <w:p w:rsidR="001F5FA8" w:rsidRPr="00D6441B" w:rsidRDefault="001F5FA8" w:rsidP="001F5FA8">
      <w:pPr>
        <w:spacing w:before="120" w:after="120" w:line="240" w:lineRule="auto"/>
        <w:jc w:val="both"/>
        <w:rPr>
          <w:rFonts w:ascii="Times New Roman" w:hAnsi="Times New Roman"/>
          <w:b/>
          <w:sz w:val="24"/>
          <w:szCs w:val="24"/>
        </w:rPr>
      </w:pPr>
    </w:p>
    <w:p w:rsidR="001F5FA8" w:rsidRPr="002744C6"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Abstract</w:t>
      </w:r>
    </w:p>
    <w:p w:rsidR="001F5FA8" w:rsidRPr="00D6441B" w:rsidRDefault="001F5FA8" w:rsidP="001F5FA8">
      <w:pPr>
        <w:spacing w:before="120" w:after="120" w:line="240" w:lineRule="auto"/>
        <w:jc w:val="both"/>
        <w:rPr>
          <w:rStyle w:val="hps"/>
          <w:rFonts w:ascii="Times New Roman" w:eastAsiaTheme="majorEastAsia" w:hAnsi="Times New Roman"/>
          <w:sz w:val="24"/>
          <w:szCs w:val="24"/>
          <w:lang w:val="en-US"/>
        </w:rPr>
      </w:pPr>
      <w:r w:rsidRPr="00D6441B">
        <w:rPr>
          <w:rFonts w:ascii="Times New Roman" w:hAnsi="Times New Roman"/>
          <w:sz w:val="24"/>
          <w:szCs w:val="24"/>
          <w:lang w:val="en-US"/>
        </w:rPr>
        <w:t xml:space="preserve">In this study, solid waste disposal areas are determined, and mapped by Geographical Information Systems. </w:t>
      </w:r>
      <w:r w:rsidRPr="00D6441B">
        <w:rPr>
          <w:rStyle w:val="hps"/>
          <w:rFonts w:ascii="Times New Roman" w:eastAsiaTheme="majorEastAsia" w:hAnsi="Times New Roman"/>
          <w:sz w:val="24"/>
          <w:szCs w:val="24"/>
          <w:lang w:val="en-US"/>
        </w:rPr>
        <w:t>The amount of</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solid waste is predicted for the years of 2010-2040, taking into consideration the relevant National</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and</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European</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Union</w:t>
      </w:r>
      <w:r w:rsidRPr="00D6441B">
        <w:rPr>
          <w:rFonts w:ascii="Times New Roman" w:hAnsi="Times New Roman"/>
          <w:sz w:val="24"/>
          <w:szCs w:val="24"/>
          <w:lang w:val="en-US"/>
        </w:rPr>
        <w:t xml:space="preserve"> (EU) regulations. C</w:t>
      </w:r>
      <w:r w:rsidRPr="00D6441B">
        <w:rPr>
          <w:rStyle w:val="hps"/>
          <w:rFonts w:ascii="Times New Roman" w:eastAsiaTheme="majorEastAsia" w:hAnsi="Times New Roman"/>
          <w:sz w:val="24"/>
          <w:szCs w:val="24"/>
          <w:lang w:val="en-US"/>
        </w:rPr>
        <w:t>onstruction of</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sanitary landfills</w:t>
      </w:r>
      <w:r w:rsidRPr="00D6441B">
        <w:rPr>
          <w:rFonts w:ascii="Times New Roman" w:hAnsi="Times New Roman"/>
          <w:sz w:val="24"/>
          <w:szCs w:val="24"/>
          <w:lang w:val="en-US"/>
        </w:rPr>
        <w:t xml:space="preserve"> and </w:t>
      </w:r>
      <w:r w:rsidRPr="00D6441B">
        <w:rPr>
          <w:rStyle w:val="hps"/>
          <w:rFonts w:ascii="Times New Roman" w:eastAsiaTheme="majorEastAsia" w:hAnsi="Times New Roman"/>
          <w:sz w:val="24"/>
          <w:szCs w:val="24"/>
          <w:lang w:val="en-US"/>
        </w:rPr>
        <w:t>recycling of waste are taken into account for estimation of pollution loads.   In this</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context,</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the population of</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the basin</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w:t>
      </w:r>
      <w:r w:rsidRPr="00D6441B">
        <w:rPr>
          <w:rFonts w:ascii="Times New Roman" w:hAnsi="Times New Roman"/>
          <w:sz w:val="24"/>
          <w:szCs w:val="24"/>
          <w:lang w:val="en-US"/>
        </w:rPr>
        <w:t xml:space="preserve">present </w:t>
      </w:r>
      <w:r w:rsidRPr="00D6441B">
        <w:rPr>
          <w:rStyle w:val="hps"/>
          <w:rFonts w:ascii="Times New Roman" w:eastAsiaTheme="majorEastAsia" w:hAnsi="Times New Roman"/>
          <w:sz w:val="24"/>
          <w:szCs w:val="24"/>
          <w:lang w:val="en-US"/>
        </w:rPr>
        <w:t>and future</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topography</w:t>
      </w:r>
      <w:r w:rsidRPr="00D6441B">
        <w:rPr>
          <w:rFonts w:ascii="Times New Roman" w:hAnsi="Times New Roman"/>
          <w:sz w:val="24"/>
          <w:szCs w:val="24"/>
          <w:lang w:val="en-US"/>
        </w:rPr>
        <w:t xml:space="preserve">, </w:t>
      </w:r>
      <w:r w:rsidRPr="00D6441B">
        <w:rPr>
          <w:rStyle w:val="hps"/>
          <w:rFonts w:ascii="Times New Roman" w:eastAsiaTheme="majorEastAsia" w:hAnsi="Times New Roman"/>
          <w:sz w:val="24"/>
          <w:szCs w:val="24"/>
          <w:lang w:val="en-US"/>
        </w:rPr>
        <w:t>road conditions</w:t>
      </w:r>
      <w:r w:rsidRPr="00D6441B">
        <w:rPr>
          <w:rFonts w:ascii="Times New Roman" w:hAnsi="Times New Roman"/>
          <w:sz w:val="24"/>
          <w:szCs w:val="24"/>
          <w:lang w:val="en-US"/>
        </w:rPr>
        <w:t xml:space="preserve">, precipitation and area of solid waste disposal site are evaluated for the pollution load calculations. Pollution loads originating from sanitary landfills are assumed as point source pollution while pollution loads from irregular landfills are assumed as non-point source pollution. In addition, half of the pollution loads originating from rehabilitated areas </w:t>
      </w:r>
      <w:r w:rsidRPr="00D6441B">
        <w:rPr>
          <w:rStyle w:val="hps"/>
          <w:rFonts w:ascii="Times New Roman" w:eastAsiaTheme="majorEastAsia" w:hAnsi="Times New Roman"/>
          <w:sz w:val="24"/>
          <w:szCs w:val="24"/>
          <w:lang w:val="en-US"/>
        </w:rPr>
        <w:t xml:space="preserve">is assumed as point source pollution while the other half is assumed as non-point source pollution. Point-source pollution loads from sanitary landfills (leachate) for the year of </w:t>
      </w:r>
      <w:proofErr w:type="gramStart"/>
      <w:r w:rsidRPr="00D6441B">
        <w:rPr>
          <w:rStyle w:val="hps"/>
          <w:rFonts w:ascii="Times New Roman" w:eastAsiaTheme="majorEastAsia" w:hAnsi="Times New Roman"/>
          <w:sz w:val="24"/>
          <w:szCs w:val="24"/>
          <w:lang w:val="en-US"/>
        </w:rPr>
        <w:lastRenderedPageBreak/>
        <w:t>2010,</w:t>
      </w:r>
      <w:proofErr w:type="gramEnd"/>
      <w:r w:rsidRPr="00D6441B">
        <w:rPr>
          <w:rStyle w:val="hps"/>
          <w:rFonts w:ascii="Times New Roman" w:eastAsiaTheme="majorEastAsia" w:hAnsi="Times New Roman"/>
          <w:sz w:val="24"/>
          <w:szCs w:val="24"/>
          <w:lang w:val="en-US"/>
        </w:rPr>
        <w:t xml:space="preserve"> are at levels of 149 tons/year for COD, 37 tons/year for TN and 0.37 tons/year for TP. Besides, non-point pollution loads from leachate are calculated as 66 tons/year for TN tons/year and 1.6 tons/year for TP.</w:t>
      </w:r>
    </w:p>
    <w:p w:rsidR="001F5FA8" w:rsidRPr="002744C6" w:rsidRDefault="001F5FA8" w:rsidP="001F5FA8">
      <w:pPr>
        <w:spacing w:before="120" w:after="120" w:line="240" w:lineRule="auto"/>
        <w:jc w:val="both"/>
        <w:rPr>
          <w:rFonts w:ascii="Times New Roman" w:hAnsi="Times New Roman"/>
          <w:i/>
          <w:sz w:val="24"/>
          <w:szCs w:val="24"/>
        </w:rPr>
      </w:pPr>
      <w:r w:rsidRPr="002744C6">
        <w:rPr>
          <w:rFonts w:ascii="Times New Roman" w:hAnsi="Times New Roman"/>
          <w:b/>
          <w:i/>
          <w:sz w:val="24"/>
          <w:szCs w:val="24"/>
        </w:rPr>
        <w:t xml:space="preserve">Keywords: </w:t>
      </w:r>
      <w:r w:rsidRPr="002744C6">
        <w:rPr>
          <w:rFonts w:ascii="Times New Roman" w:hAnsi="Times New Roman"/>
          <w:i/>
          <w:sz w:val="24"/>
          <w:szCs w:val="24"/>
        </w:rPr>
        <w:t xml:space="preserve">Solid </w:t>
      </w:r>
      <w:r>
        <w:rPr>
          <w:rFonts w:ascii="Times New Roman" w:hAnsi="Times New Roman"/>
          <w:i/>
          <w:sz w:val="24"/>
          <w:szCs w:val="24"/>
        </w:rPr>
        <w:t>w</w:t>
      </w:r>
      <w:r w:rsidRPr="002744C6">
        <w:rPr>
          <w:rFonts w:ascii="Times New Roman" w:hAnsi="Times New Roman"/>
          <w:i/>
          <w:sz w:val="24"/>
          <w:szCs w:val="24"/>
        </w:rPr>
        <w:t>aste,</w:t>
      </w:r>
      <w:r w:rsidRPr="00132769">
        <w:rPr>
          <w:rFonts w:ascii="Times New Roman" w:hAnsi="Times New Roman"/>
          <w:i/>
          <w:sz w:val="24"/>
          <w:szCs w:val="24"/>
        </w:rPr>
        <w:t xml:space="preserve"> </w:t>
      </w:r>
      <w:r>
        <w:rPr>
          <w:rFonts w:ascii="Times New Roman" w:hAnsi="Times New Roman"/>
          <w:i/>
          <w:sz w:val="24"/>
          <w:szCs w:val="24"/>
        </w:rPr>
        <w:t>l</w:t>
      </w:r>
      <w:r w:rsidRPr="002744C6">
        <w:rPr>
          <w:rFonts w:ascii="Times New Roman" w:hAnsi="Times New Roman"/>
          <w:i/>
          <w:sz w:val="24"/>
          <w:szCs w:val="24"/>
        </w:rPr>
        <w:t xml:space="preserve">eachate, </w:t>
      </w:r>
      <w:r>
        <w:rPr>
          <w:rFonts w:ascii="Times New Roman" w:hAnsi="Times New Roman"/>
          <w:i/>
          <w:sz w:val="24"/>
          <w:szCs w:val="24"/>
        </w:rPr>
        <w:t>n</w:t>
      </w:r>
      <w:r w:rsidRPr="002744C6">
        <w:rPr>
          <w:rFonts w:ascii="Times New Roman" w:hAnsi="Times New Roman"/>
          <w:i/>
          <w:sz w:val="24"/>
          <w:szCs w:val="24"/>
        </w:rPr>
        <w:t>on-</w:t>
      </w:r>
      <w:r>
        <w:rPr>
          <w:rFonts w:ascii="Times New Roman" w:hAnsi="Times New Roman"/>
          <w:i/>
          <w:sz w:val="24"/>
          <w:szCs w:val="24"/>
        </w:rPr>
        <w:t>p</w:t>
      </w:r>
      <w:r w:rsidRPr="002744C6">
        <w:rPr>
          <w:rFonts w:ascii="Times New Roman" w:hAnsi="Times New Roman"/>
          <w:i/>
          <w:sz w:val="24"/>
          <w:szCs w:val="24"/>
        </w:rPr>
        <w:t xml:space="preserve">oint </w:t>
      </w:r>
      <w:r>
        <w:rPr>
          <w:rFonts w:ascii="Times New Roman" w:hAnsi="Times New Roman"/>
          <w:i/>
          <w:sz w:val="24"/>
          <w:szCs w:val="24"/>
        </w:rPr>
        <w:t>s</w:t>
      </w:r>
      <w:r w:rsidRPr="002744C6">
        <w:rPr>
          <w:rFonts w:ascii="Times New Roman" w:hAnsi="Times New Roman"/>
          <w:i/>
          <w:sz w:val="24"/>
          <w:szCs w:val="24"/>
        </w:rPr>
        <w:t xml:space="preserve">ource </w:t>
      </w:r>
      <w:r>
        <w:rPr>
          <w:rFonts w:ascii="Times New Roman" w:hAnsi="Times New Roman"/>
          <w:i/>
          <w:sz w:val="24"/>
          <w:szCs w:val="24"/>
        </w:rPr>
        <w:t>p</w:t>
      </w:r>
      <w:r w:rsidRPr="002744C6">
        <w:rPr>
          <w:rFonts w:ascii="Times New Roman" w:hAnsi="Times New Roman"/>
          <w:i/>
          <w:sz w:val="24"/>
          <w:szCs w:val="24"/>
        </w:rPr>
        <w:t xml:space="preserve">ollution </w:t>
      </w:r>
      <w:r>
        <w:rPr>
          <w:rFonts w:ascii="Times New Roman" w:hAnsi="Times New Roman"/>
          <w:i/>
          <w:sz w:val="24"/>
          <w:szCs w:val="24"/>
        </w:rPr>
        <w:t>l</w:t>
      </w:r>
      <w:r w:rsidRPr="002744C6">
        <w:rPr>
          <w:rFonts w:ascii="Times New Roman" w:hAnsi="Times New Roman"/>
          <w:i/>
          <w:sz w:val="24"/>
          <w:szCs w:val="24"/>
        </w:rPr>
        <w:t>oad</w:t>
      </w:r>
      <w:r>
        <w:rPr>
          <w:rFonts w:ascii="Times New Roman" w:hAnsi="Times New Roman"/>
          <w:i/>
          <w:sz w:val="24"/>
          <w:szCs w:val="24"/>
        </w:rPr>
        <w:t>,</w:t>
      </w:r>
      <w:r w:rsidRPr="002744C6">
        <w:rPr>
          <w:rFonts w:ascii="Times New Roman" w:hAnsi="Times New Roman"/>
          <w:i/>
          <w:sz w:val="24"/>
          <w:szCs w:val="24"/>
        </w:rPr>
        <w:t xml:space="preserve"> </w:t>
      </w:r>
      <w:r>
        <w:rPr>
          <w:rFonts w:ascii="Times New Roman" w:hAnsi="Times New Roman"/>
          <w:i/>
          <w:sz w:val="24"/>
          <w:szCs w:val="24"/>
        </w:rPr>
        <w:t>p</w:t>
      </w:r>
      <w:r w:rsidRPr="002744C6">
        <w:rPr>
          <w:rFonts w:ascii="Times New Roman" w:hAnsi="Times New Roman"/>
          <w:i/>
          <w:sz w:val="24"/>
          <w:szCs w:val="24"/>
        </w:rPr>
        <w:t xml:space="preserve">oint </w:t>
      </w:r>
      <w:r>
        <w:rPr>
          <w:rFonts w:ascii="Times New Roman" w:hAnsi="Times New Roman"/>
          <w:i/>
          <w:sz w:val="24"/>
          <w:szCs w:val="24"/>
        </w:rPr>
        <w:t>s</w:t>
      </w:r>
      <w:r w:rsidRPr="002744C6">
        <w:rPr>
          <w:rFonts w:ascii="Times New Roman" w:hAnsi="Times New Roman"/>
          <w:i/>
          <w:sz w:val="24"/>
          <w:szCs w:val="24"/>
        </w:rPr>
        <w:t xml:space="preserve">ource </w:t>
      </w:r>
      <w:r>
        <w:rPr>
          <w:rFonts w:ascii="Times New Roman" w:hAnsi="Times New Roman"/>
          <w:i/>
          <w:sz w:val="24"/>
          <w:szCs w:val="24"/>
        </w:rPr>
        <w:t>p</w:t>
      </w:r>
      <w:r w:rsidRPr="002744C6">
        <w:rPr>
          <w:rFonts w:ascii="Times New Roman" w:hAnsi="Times New Roman"/>
          <w:i/>
          <w:sz w:val="24"/>
          <w:szCs w:val="24"/>
        </w:rPr>
        <w:t xml:space="preserve">ollution </w:t>
      </w:r>
      <w:r>
        <w:rPr>
          <w:rFonts w:ascii="Times New Roman" w:hAnsi="Times New Roman"/>
          <w:i/>
          <w:sz w:val="24"/>
          <w:szCs w:val="24"/>
        </w:rPr>
        <w:t>load</w:t>
      </w:r>
    </w:p>
    <w:p w:rsidR="001F5FA8" w:rsidRPr="00D6441B" w:rsidRDefault="001F5FA8" w:rsidP="001F5FA8">
      <w:pPr>
        <w:spacing w:before="120" w:after="120" w:line="240" w:lineRule="auto"/>
        <w:jc w:val="both"/>
        <w:rPr>
          <w:rFonts w:ascii="Times New Roman" w:hAnsi="Times New Roman"/>
          <w:b/>
          <w:sz w:val="24"/>
          <w:szCs w:val="24"/>
        </w:rPr>
      </w:pPr>
    </w:p>
    <w:p w:rsidR="0071541B" w:rsidRDefault="0071541B" w:rsidP="001F5FA8">
      <w:pPr>
        <w:pStyle w:val="ListParagraph"/>
        <w:numPr>
          <w:ilvl w:val="0"/>
          <w:numId w:val="1"/>
        </w:numPr>
        <w:spacing w:before="120" w:after="120"/>
        <w:ind w:left="0" w:firstLine="0"/>
        <w:contextualSpacing/>
        <w:jc w:val="both"/>
        <w:rPr>
          <w:b/>
        </w:rPr>
        <w:sectPr w:rsidR="0071541B" w:rsidSect="00907EDD">
          <w:type w:val="continuous"/>
          <w:pgSz w:w="11906" w:h="16838"/>
          <w:pgMar w:top="1417" w:right="849" w:bottom="1417" w:left="1134" w:header="708" w:footer="340" w:gutter="0"/>
          <w:cols w:space="708"/>
          <w:docGrid w:linePitch="360"/>
        </w:sectPr>
      </w:pPr>
    </w:p>
    <w:p w:rsidR="001F5FA8" w:rsidRPr="00D6441B" w:rsidRDefault="001F5FA8" w:rsidP="001F5FA8">
      <w:pPr>
        <w:pStyle w:val="ListParagraph"/>
        <w:numPr>
          <w:ilvl w:val="0"/>
          <w:numId w:val="1"/>
        </w:numPr>
        <w:spacing w:before="120" w:after="120"/>
        <w:ind w:left="0" w:firstLine="0"/>
        <w:contextualSpacing/>
        <w:jc w:val="both"/>
        <w:rPr>
          <w:b/>
        </w:rPr>
      </w:pPr>
      <w:r w:rsidRPr="00D6441B">
        <w:rPr>
          <w:b/>
        </w:rPr>
        <w:lastRenderedPageBreak/>
        <w:t>GİRİŞ</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Ülkemizde hızlı ekonomik büyüme, kentleşme, nüfus atışı ve refah seviyesinin yükselmesi giderek artan miktarda atık üretimine yol açmaktadır. Artan atık miktarı ise; atıksız veya olabildiğince az atıklı üretimi, atıkların geri kazanılmasını ve nihayet atıkların ekonomi ve çevre açısından en uygun şekilde bertarafını gerektirmektedir.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Türkiye genelinde katı atıklar, genellikle dere ve çay kenarlarına, terk edilmiş maden ocaklarına ve orman vasfını yitirmiş arazilere kontrolsüz bir şekilde dökülmekte, oluşan sızıntı suları ile toprak, akarsu ve yeraltı suyunu kirlenmektedir (Öztürk, 2010). Düzensiz depolama olarak kullanılan bölgeler, vadiler, yazın kuruyan dere yatakları, terk edilmiş maden ocaklarına ve orman vasfını yitirmiş araziler olarak tercih edilmektedir. Vadilerde toplanan katı atıkların üstü zamanla kapatılmakta; kuruyan dere yataklarındaki atıklarsa kışın taşkınların gelişiyle süpürülmektedir. Atıklardan kaynaklanan sızıntı suları için hiçbir önlem alınmamış olup, bu sular yeraltına veya derelere ulaşmaktadır. Çözüm olarak yakın belediyelerin bir araya gelerek birlik kurmaları ve bu birlik </w:t>
      </w:r>
      <w:r w:rsidR="00626CE3" w:rsidRPr="00D6441B">
        <w:rPr>
          <w:rFonts w:ascii="Times New Roman" w:hAnsi="Times New Roman"/>
          <w:sz w:val="24"/>
          <w:szCs w:val="24"/>
        </w:rPr>
        <w:t>dâhilinde</w:t>
      </w:r>
      <w:r w:rsidRPr="00D6441B">
        <w:rPr>
          <w:rFonts w:ascii="Times New Roman" w:hAnsi="Times New Roman"/>
          <w:sz w:val="24"/>
          <w:szCs w:val="24"/>
        </w:rPr>
        <w:t xml:space="preserve"> düzenli depolama alanlarını inşa ederek işletmeye almaları gerekmektedir.</w:t>
      </w:r>
    </w:p>
    <w:p w:rsidR="0071541B" w:rsidRDefault="001F5FA8" w:rsidP="001F5FA8">
      <w:pPr>
        <w:spacing w:before="120" w:after="120" w:line="240" w:lineRule="auto"/>
        <w:jc w:val="both"/>
        <w:rPr>
          <w:rFonts w:ascii="Times New Roman" w:hAnsi="Times New Roman"/>
          <w:sz w:val="24"/>
          <w:szCs w:val="24"/>
          <w:lang w:eastAsia="tr-TR"/>
        </w:rPr>
      </w:pPr>
      <w:r w:rsidRPr="00D6441B">
        <w:rPr>
          <w:rFonts w:ascii="Times New Roman" w:hAnsi="Times New Roman"/>
          <w:sz w:val="24"/>
          <w:szCs w:val="24"/>
          <w:lang w:eastAsia="tr-TR"/>
        </w:rPr>
        <w:t xml:space="preserve">T.C. Çevre ve Orman Bakanlığı (ÇOB) tarafından başlatılıp, </w:t>
      </w:r>
      <w:r w:rsidRPr="00D6441B">
        <w:rPr>
          <w:rFonts w:ascii="Times New Roman" w:hAnsi="Times New Roman"/>
          <w:sz w:val="24"/>
          <w:szCs w:val="24"/>
        </w:rPr>
        <w:t>TÜBİTAK MAM’ın proje yürütücülüğünde yapılmış olan</w:t>
      </w:r>
      <w:r w:rsidRPr="00D6441B">
        <w:rPr>
          <w:rFonts w:ascii="Times New Roman" w:hAnsi="Times New Roman"/>
          <w:sz w:val="24"/>
          <w:szCs w:val="24"/>
          <w:lang w:eastAsia="tr-TR"/>
        </w:rPr>
        <w:t xml:space="preserve"> Havza Koruma Eylem Planları kapsamında kirlilik kaynakları belirlenmiş; mevcut ve gelecekteki durumu ortaya konmuştur. Havza Koruma Eylem Planı Projesinin önemli çıktılarından biri, noktasal ve yayılı kirletici kaynaklardan biri olan katı atık </w:t>
      </w:r>
    </w:p>
    <w:p w:rsidR="001F5FA8" w:rsidRPr="00D6441B" w:rsidRDefault="004E1C26" w:rsidP="001F5FA8">
      <w:pPr>
        <w:spacing w:before="120" w:after="120" w:line="240" w:lineRule="auto"/>
        <w:jc w:val="both"/>
        <w:rPr>
          <w:rFonts w:ascii="Times New Roman" w:hAnsi="Times New Roman"/>
          <w:sz w:val="24"/>
          <w:szCs w:val="24"/>
          <w:lang w:eastAsia="tr-TR"/>
        </w:rPr>
      </w:pPr>
      <w:r w:rsidRPr="00D6441B">
        <w:rPr>
          <w:rFonts w:ascii="Times New Roman" w:hAnsi="Times New Roman"/>
          <w:sz w:val="24"/>
          <w:szCs w:val="24"/>
          <w:lang w:eastAsia="tr-TR"/>
        </w:rPr>
        <w:t>Sızıntı</w:t>
      </w:r>
      <w:r w:rsidR="001F5FA8" w:rsidRPr="00D6441B">
        <w:rPr>
          <w:rFonts w:ascii="Times New Roman" w:hAnsi="Times New Roman"/>
          <w:sz w:val="24"/>
          <w:szCs w:val="24"/>
          <w:lang w:eastAsia="tr-TR"/>
        </w:rPr>
        <w:t xml:space="preserve"> sularının hesaplanmasıdır </w:t>
      </w:r>
      <w:r w:rsidR="001F5FA8" w:rsidRPr="00D6441B">
        <w:rPr>
          <w:rFonts w:ascii="Times New Roman" w:hAnsi="Times New Roman"/>
          <w:sz w:val="24"/>
          <w:szCs w:val="24"/>
        </w:rPr>
        <w:t>(TÜBİTAK MAM Burdur Havzası HKEP Raporu, 2010).</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Türkiye’de katı atık ile ilgili başta “Katı Atık Ana Planı, (ÇOB, 2006/2009)” ve “Atık Yönetimi </w:t>
      </w:r>
      <w:r w:rsidRPr="00D6441B">
        <w:rPr>
          <w:rFonts w:ascii="Times New Roman" w:hAnsi="Times New Roman"/>
          <w:sz w:val="24"/>
          <w:szCs w:val="24"/>
        </w:rPr>
        <w:lastRenderedPageBreak/>
        <w:t>Eylem Planı, (ÇOB, 2010)” olmak üzere çok önemli çalışmalar yapılmıştır. Ancak yapılan bu çalışmalar iller bazında olup, henüz havza bazında bir değerlendirme yapılmamıştır. Bu çalışma bu konuda yapılan öncü çalışmalardan biridir. Bu amaç doğrultusunda Türkiye’nin kapalı havzalarından biri olan Burdur Havzası örneğinde, mevcut ve gelecekteki katı atık durumu, oluşan sızıntı suyu miktarı ve kirletici yükler tespit edilmiştir.</w:t>
      </w:r>
    </w:p>
    <w:p w:rsidR="001F5FA8" w:rsidRPr="00D6441B" w:rsidRDefault="001F5FA8" w:rsidP="001F5FA8">
      <w:pPr>
        <w:spacing w:before="120" w:after="120" w:line="240" w:lineRule="auto"/>
        <w:jc w:val="both"/>
        <w:rPr>
          <w:rFonts w:ascii="Times New Roman" w:hAnsi="Times New Roman"/>
          <w:sz w:val="24"/>
          <w:szCs w:val="24"/>
        </w:rPr>
      </w:pPr>
    </w:p>
    <w:p w:rsidR="001F5FA8" w:rsidRDefault="001F5FA8" w:rsidP="001F5FA8">
      <w:pPr>
        <w:pStyle w:val="ListParagraph"/>
        <w:numPr>
          <w:ilvl w:val="0"/>
          <w:numId w:val="1"/>
        </w:numPr>
        <w:spacing w:before="120" w:after="120"/>
        <w:ind w:left="0" w:firstLine="0"/>
        <w:contextualSpacing/>
        <w:jc w:val="both"/>
        <w:rPr>
          <w:b/>
        </w:rPr>
      </w:pPr>
      <w:r w:rsidRPr="00D6441B">
        <w:rPr>
          <w:b/>
        </w:rPr>
        <w:t>METODOLOJİ</w:t>
      </w:r>
    </w:p>
    <w:p w:rsidR="001F5FA8" w:rsidRPr="002744C6" w:rsidRDefault="001F5FA8" w:rsidP="001F5FA8">
      <w:pPr>
        <w:pStyle w:val="ListParagraph"/>
        <w:spacing w:before="120" w:after="120"/>
        <w:ind w:left="0"/>
        <w:contextualSpacing/>
        <w:jc w:val="both"/>
        <w:rPr>
          <w:b/>
        </w:rPr>
      </w:pPr>
    </w:p>
    <w:p w:rsidR="001F5FA8" w:rsidRPr="002744C6" w:rsidRDefault="001F5FA8" w:rsidP="001F5FA8">
      <w:pPr>
        <w:pStyle w:val="ListParagraph"/>
        <w:numPr>
          <w:ilvl w:val="1"/>
          <w:numId w:val="1"/>
        </w:numPr>
        <w:autoSpaceDE w:val="0"/>
        <w:autoSpaceDN w:val="0"/>
        <w:adjustRightInd w:val="0"/>
        <w:spacing w:before="120" w:after="120"/>
        <w:ind w:left="0" w:firstLine="0"/>
        <w:contextualSpacing/>
        <w:jc w:val="both"/>
        <w:rPr>
          <w:b/>
        </w:rPr>
      </w:pPr>
      <w:r w:rsidRPr="00D6441B">
        <w:rPr>
          <w:b/>
        </w:rPr>
        <w:t xml:space="preserve">Katı Atık Yönetim Birliklerinin ve Atık Miktarının Belirlenmesi </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Sızıntı suyu hesaplamalarına esas teşkil eden Katı Atık Yönetim Birlikleri Kasım 2010 yılında ÇOB’dan alınan verilere göre belirlenmiştir. Katı Atık Yönetim Birlikleri, hizmetin sunulacağı alt bölgeyi ve nüfusunu tanımlamaktadır. Katı atık hizmetleri başlıca atık toplama, taşıma, geri kazanma, arıtma ve bertaraf faaliyetlerini içermektedir. Atık birliklerinin oluşturulmasında dikkate alınan başlıca parametreler; idari yapı, coğrafi konum, topografya, yol durumu, ekonomik taşıma mesafesi ve nüfustur.</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Havzadaki katı atık kaynaklı kirlilik yüklerinin zaman içerisinde atık karakterizasyonu ve atık akışı neticesinde nasıl değiştiğinin belirlenmesinde, KAAP kapsamında hazırlanmış Tip Projeler kullanılmıştır. Tip Projeler, katı atık yönetimi alanında Türkiye genelinin bilgisayar destekli bir model yardımıyla modellenmesi suretiyle geliştirilmiştir. Tip Projeler kullanılarak atık akışı içerisinde oluşumundan bertarafına kadar geçen süreçte, atık ayırma, işleme, arıtma v.b. amaçlarla kullanılması gereken pek çok atık yönetim tesisi, bu tesisler ve işletmeye alınma tarihleri, farklı nüfus grupları ve bölgelerin farklı yapısal özelliklerini dikkate alınmıştır.  Ayrıca, Tip Projeler hem Türk, hem AB mevzuatına uygun bir şekilde hazırlanmıştır. </w:t>
      </w:r>
    </w:p>
    <w:p w:rsidR="001F5FA8" w:rsidRPr="002744C6" w:rsidRDefault="001F5FA8" w:rsidP="001F5FA8">
      <w:pPr>
        <w:pStyle w:val="ListParagraph"/>
        <w:numPr>
          <w:ilvl w:val="1"/>
          <w:numId w:val="1"/>
        </w:numPr>
        <w:autoSpaceDE w:val="0"/>
        <w:autoSpaceDN w:val="0"/>
        <w:adjustRightInd w:val="0"/>
        <w:spacing w:before="120" w:after="120"/>
        <w:ind w:left="0" w:firstLine="0"/>
        <w:contextualSpacing/>
        <w:jc w:val="both"/>
        <w:rPr>
          <w:b/>
        </w:rPr>
      </w:pPr>
      <w:r w:rsidRPr="00D6441B">
        <w:rPr>
          <w:b/>
        </w:rPr>
        <w:lastRenderedPageBreak/>
        <w:t>Katı Atık Sızıntı Suyu Hesaplamaları</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Havza dahilinde oluşan katı atık sızıntı suları </w:t>
      </w:r>
      <w:r w:rsidRPr="00D6441B">
        <w:rPr>
          <w:rFonts w:ascii="Times New Roman" w:hAnsi="Times New Roman"/>
          <w:b/>
          <w:sz w:val="24"/>
          <w:szCs w:val="24"/>
        </w:rPr>
        <w:t>Tablo 1</w:t>
      </w:r>
      <w:r w:rsidRPr="00D6441B">
        <w:rPr>
          <w:rFonts w:ascii="Times New Roman" w:hAnsi="Times New Roman"/>
          <w:sz w:val="24"/>
          <w:szCs w:val="24"/>
        </w:rPr>
        <w:t xml:space="preserve">’de gösterildiği şekilde gruplandırılmıştır. Sızıntı sularının debi ve yük hesapları bu 4 ayrı grup için yapılmıştır. Nüfusu 100.000’den fazla olan yerleşim yerlerinde, Çevre Kanunu Geçici </w:t>
      </w:r>
      <w:r w:rsidRPr="00D6441B">
        <w:rPr>
          <w:rFonts w:ascii="Times New Roman" w:hAnsi="Times New Roman"/>
          <w:sz w:val="24"/>
          <w:szCs w:val="24"/>
        </w:rPr>
        <w:lastRenderedPageBreak/>
        <w:t>Madde 4’e göre belirlenmiş olan Düzenli Depolama sahalarını işletmeye almak için aşılmaması gereken süredir. Ancak bu süre dolduğundan HKEP İş Takviminde bu tarih, 2012 yılı olarak öngörülmüştür.</w:t>
      </w:r>
    </w:p>
    <w:p w:rsidR="0071541B" w:rsidRDefault="0071541B" w:rsidP="001F5FA8">
      <w:pPr>
        <w:autoSpaceDE w:val="0"/>
        <w:autoSpaceDN w:val="0"/>
        <w:adjustRightInd w:val="0"/>
        <w:spacing w:before="120" w:after="120" w:line="240" w:lineRule="auto"/>
        <w:jc w:val="both"/>
        <w:rPr>
          <w:rFonts w:ascii="Times New Roman" w:hAnsi="Times New Roman"/>
          <w:b/>
          <w:sz w:val="24"/>
          <w:szCs w:val="24"/>
        </w:rPr>
        <w:sectPr w:rsidR="0071541B" w:rsidSect="00907EDD">
          <w:type w:val="continuous"/>
          <w:pgSz w:w="11906" w:h="16838"/>
          <w:pgMar w:top="1417" w:right="849" w:bottom="1417" w:left="1134" w:header="708" w:footer="340" w:gutter="0"/>
          <w:cols w:num="2" w:space="283"/>
          <w:docGrid w:linePitch="360"/>
        </w:sectPr>
      </w:pPr>
    </w:p>
    <w:p w:rsidR="008D1314" w:rsidRDefault="008D1314" w:rsidP="001F5FA8">
      <w:pPr>
        <w:autoSpaceDE w:val="0"/>
        <w:autoSpaceDN w:val="0"/>
        <w:adjustRightInd w:val="0"/>
        <w:spacing w:before="120" w:after="120" w:line="240" w:lineRule="auto"/>
        <w:jc w:val="both"/>
        <w:rPr>
          <w:rFonts w:ascii="Times New Roman" w:hAnsi="Times New Roman"/>
          <w:b/>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b/>
          <w:sz w:val="24"/>
          <w:szCs w:val="24"/>
        </w:rPr>
        <w:t>Tablo 1.</w:t>
      </w:r>
      <w:r w:rsidRPr="00D6441B">
        <w:rPr>
          <w:rFonts w:ascii="Times New Roman" w:hAnsi="Times New Roman"/>
          <w:sz w:val="24"/>
          <w:szCs w:val="24"/>
        </w:rPr>
        <w:t xml:space="preserve"> Katı atık sızıntı suyu kaynakları</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900"/>
      </w:tblGrid>
      <w:tr w:rsidR="001F5FA8" w:rsidRPr="00D6441B" w:rsidTr="00BD213D">
        <w:trPr>
          <w:trHeight w:val="357"/>
        </w:trPr>
        <w:tc>
          <w:tcPr>
            <w:tcW w:w="9970" w:type="dxa"/>
            <w:gridSpan w:val="2"/>
            <w:vAlign w:val="center"/>
          </w:tcPr>
          <w:p w:rsidR="001F5FA8" w:rsidRPr="00D6441B" w:rsidRDefault="001F5FA8" w:rsidP="008D1314">
            <w:pPr>
              <w:autoSpaceDE w:val="0"/>
              <w:autoSpaceDN w:val="0"/>
              <w:adjustRightInd w:val="0"/>
              <w:spacing w:after="0" w:line="240" w:lineRule="auto"/>
              <w:jc w:val="both"/>
              <w:rPr>
                <w:rFonts w:ascii="Times New Roman" w:hAnsi="Times New Roman"/>
                <w:b/>
                <w:sz w:val="24"/>
                <w:szCs w:val="24"/>
              </w:rPr>
            </w:pPr>
            <w:r w:rsidRPr="00D6441B">
              <w:rPr>
                <w:rFonts w:ascii="Times New Roman" w:hAnsi="Times New Roman"/>
                <w:b/>
                <w:sz w:val="24"/>
                <w:szCs w:val="24"/>
              </w:rPr>
              <w:t>Katı Atık Sızıntı Suyu Kaynakları</w:t>
            </w:r>
          </w:p>
        </w:tc>
      </w:tr>
      <w:tr w:rsidR="001F5FA8" w:rsidRPr="00D6441B" w:rsidTr="00BD213D">
        <w:trPr>
          <w:trHeight w:val="419"/>
        </w:trPr>
        <w:tc>
          <w:tcPr>
            <w:tcW w:w="5070" w:type="dxa"/>
            <w:vAlign w:val="center"/>
          </w:tcPr>
          <w:p w:rsidR="001F5FA8" w:rsidRPr="00D6441B" w:rsidRDefault="001F5FA8" w:rsidP="008D1314">
            <w:pPr>
              <w:autoSpaceDE w:val="0"/>
              <w:autoSpaceDN w:val="0"/>
              <w:adjustRightInd w:val="0"/>
              <w:spacing w:after="0" w:line="240" w:lineRule="auto"/>
              <w:jc w:val="both"/>
              <w:rPr>
                <w:rFonts w:ascii="Times New Roman" w:hAnsi="Times New Roman"/>
                <w:b/>
                <w:sz w:val="24"/>
                <w:szCs w:val="24"/>
              </w:rPr>
            </w:pPr>
            <w:r w:rsidRPr="00D6441B">
              <w:rPr>
                <w:rFonts w:ascii="Times New Roman" w:hAnsi="Times New Roman"/>
                <w:b/>
                <w:sz w:val="24"/>
                <w:szCs w:val="24"/>
              </w:rPr>
              <w:t>Düzensiz Depolama Alanları</w:t>
            </w:r>
          </w:p>
        </w:tc>
        <w:tc>
          <w:tcPr>
            <w:tcW w:w="4900" w:type="dxa"/>
            <w:vAlign w:val="center"/>
          </w:tcPr>
          <w:p w:rsidR="001F5FA8" w:rsidRPr="00D6441B" w:rsidRDefault="001F5FA8" w:rsidP="008D1314">
            <w:pPr>
              <w:autoSpaceDE w:val="0"/>
              <w:autoSpaceDN w:val="0"/>
              <w:adjustRightInd w:val="0"/>
              <w:spacing w:after="0" w:line="240" w:lineRule="auto"/>
              <w:jc w:val="both"/>
              <w:rPr>
                <w:rFonts w:ascii="Times New Roman" w:hAnsi="Times New Roman"/>
                <w:b/>
                <w:sz w:val="24"/>
                <w:szCs w:val="24"/>
              </w:rPr>
            </w:pPr>
            <w:r w:rsidRPr="00D6441B">
              <w:rPr>
                <w:rFonts w:ascii="Times New Roman" w:hAnsi="Times New Roman"/>
                <w:b/>
                <w:sz w:val="24"/>
                <w:szCs w:val="24"/>
              </w:rPr>
              <w:t xml:space="preserve">Düzenli Depolama Alanları </w:t>
            </w:r>
          </w:p>
        </w:tc>
      </w:tr>
      <w:tr w:rsidR="001F5FA8" w:rsidRPr="00D6441B" w:rsidTr="00BD213D">
        <w:trPr>
          <w:trHeight w:val="468"/>
        </w:trPr>
        <w:tc>
          <w:tcPr>
            <w:tcW w:w="5070" w:type="dxa"/>
            <w:vAlign w:val="center"/>
          </w:tcPr>
          <w:p w:rsidR="001F5FA8" w:rsidRPr="00D6441B" w:rsidRDefault="001F5FA8" w:rsidP="008D1314">
            <w:pPr>
              <w:autoSpaceDE w:val="0"/>
              <w:autoSpaceDN w:val="0"/>
              <w:adjustRightInd w:val="0"/>
              <w:spacing w:after="0" w:line="240" w:lineRule="auto"/>
              <w:contextualSpacing/>
              <w:jc w:val="both"/>
              <w:rPr>
                <w:rFonts w:ascii="Times New Roman" w:hAnsi="Times New Roman"/>
                <w:sz w:val="24"/>
                <w:szCs w:val="24"/>
              </w:rPr>
            </w:pPr>
            <w:r w:rsidRPr="00D6441B">
              <w:rPr>
                <w:rFonts w:ascii="Times New Roman" w:hAnsi="Times New Roman"/>
                <w:sz w:val="24"/>
                <w:szCs w:val="24"/>
              </w:rPr>
              <w:t>Mevcut Düzensiz Depolama Alanları</w:t>
            </w:r>
          </w:p>
        </w:tc>
        <w:tc>
          <w:tcPr>
            <w:tcW w:w="4900" w:type="dxa"/>
            <w:vAlign w:val="center"/>
          </w:tcPr>
          <w:p w:rsidR="001F5FA8" w:rsidRPr="00D6441B" w:rsidRDefault="001F5FA8" w:rsidP="008D1314">
            <w:pPr>
              <w:autoSpaceDE w:val="0"/>
              <w:autoSpaceDN w:val="0"/>
              <w:adjustRightInd w:val="0"/>
              <w:spacing w:after="0" w:line="240" w:lineRule="auto"/>
              <w:contextualSpacing/>
              <w:jc w:val="both"/>
              <w:rPr>
                <w:rFonts w:ascii="Times New Roman" w:hAnsi="Times New Roman"/>
                <w:sz w:val="24"/>
                <w:szCs w:val="24"/>
              </w:rPr>
            </w:pPr>
            <w:r w:rsidRPr="00D6441B">
              <w:rPr>
                <w:rFonts w:ascii="Times New Roman" w:hAnsi="Times New Roman"/>
                <w:sz w:val="24"/>
                <w:szCs w:val="24"/>
              </w:rPr>
              <w:t xml:space="preserve">Mevcut Düzenli Depolama Alanları </w:t>
            </w:r>
          </w:p>
        </w:tc>
      </w:tr>
      <w:tr w:rsidR="001F5FA8" w:rsidRPr="00D6441B" w:rsidTr="00BD213D">
        <w:trPr>
          <w:trHeight w:val="596"/>
        </w:trPr>
        <w:tc>
          <w:tcPr>
            <w:tcW w:w="5070" w:type="dxa"/>
            <w:vAlign w:val="center"/>
          </w:tcPr>
          <w:p w:rsidR="001F5FA8" w:rsidRPr="00D6441B" w:rsidRDefault="001F5FA8" w:rsidP="008D1314">
            <w:pPr>
              <w:autoSpaceDE w:val="0"/>
              <w:autoSpaceDN w:val="0"/>
              <w:adjustRightInd w:val="0"/>
              <w:spacing w:after="0" w:line="240" w:lineRule="auto"/>
              <w:contextualSpacing/>
              <w:jc w:val="both"/>
              <w:rPr>
                <w:rFonts w:ascii="Times New Roman" w:hAnsi="Times New Roman"/>
                <w:sz w:val="24"/>
                <w:szCs w:val="24"/>
              </w:rPr>
            </w:pPr>
            <w:r w:rsidRPr="00D6441B">
              <w:rPr>
                <w:rFonts w:ascii="Times New Roman" w:hAnsi="Times New Roman"/>
                <w:sz w:val="24"/>
                <w:szCs w:val="24"/>
              </w:rPr>
              <w:t>Rehabilite Edilen (Kapatılan) Düzensiz Depolama Alanları</w:t>
            </w:r>
          </w:p>
        </w:tc>
        <w:tc>
          <w:tcPr>
            <w:tcW w:w="4900" w:type="dxa"/>
            <w:vAlign w:val="center"/>
          </w:tcPr>
          <w:p w:rsidR="001F5FA8" w:rsidRPr="00D6441B" w:rsidRDefault="001F5FA8" w:rsidP="008D1314">
            <w:pPr>
              <w:autoSpaceDE w:val="0"/>
              <w:autoSpaceDN w:val="0"/>
              <w:adjustRightInd w:val="0"/>
              <w:spacing w:after="0" w:line="240" w:lineRule="auto"/>
              <w:contextualSpacing/>
              <w:jc w:val="both"/>
              <w:rPr>
                <w:rFonts w:ascii="Times New Roman" w:hAnsi="Times New Roman"/>
                <w:sz w:val="24"/>
                <w:szCs w:val="24"/>
              </w:rPr>
            </w:pPr>
          </w:p>
          <w:p w:rsidR="001F5FA8" w:rsidRPr="00D6441B" w:rsidRDefault="001F5FA8" w:rsidP="008D1314">
            <w:pPr>
              <w:autoSpaceDE w:val="0"/>
              <w:autoSpaceDN w:val="0"/>
              <w:adjustRightInd w:val="0"/>
              <w:spacing w:after="0" w:line="240" w:lineRule="auto"/>
              <w:contextualSpacing/>
              <w:jc w:val="both"/>
              <w:rPr>
                <w:rFonts w:ascii="Times New Roman" w:hAnsi="Times New Roman"/>
                <w:sz w:val="24"/>
                <w:szCs w:val="24"/>
              </w:rPr>
            </w:pPr>
            <w:r w:rsidRPr="00D6441B">
              <w:rPr>
                <w:rFonts w:ascii="Times New Roman" w:hAnsi="Times New Roman"/>
                <w:sz w:val="24"/>
                <w:szCs w:val="24"/>
              </w:rPr>
              <w:t>İnşaası Planlanan Düzenli Depolama Alanları</w:t>
            </w:r>
          </w:p>
          <w:p w:rsidR="001F5FA8" w:rsidRPr="00D6441B" w:rsidRDefault="001F5FA8" w:rsidP="008D1314">
            <w:pPr>
              <w:autoSpaceDE w:val="0"/>
              <w:autoSpaceDN w:val="0"/>
              <w:adjustRightInd w:val="0"/>
              <w:spacing w:after="0" w:line="240" w:lineRule="auto"/>
              <w:jc w:val="both"/>
              <w:rPr>
                <w:rFonts w:ascii="Times New Roman" w:hAnsi="Times New Roman"/>
                <w:b/>
                <w:sz w:val="24"/>
                <w:szCs w:val="24"/>
              </w:rPr>
            </w:pPr>
          </w:p>
        </w:tc>
      </w:tr>
    </w:tbl>
    <w:p w:rsidR="0071541B" w:rsidRDefault="0071541B" w:rsidP="001F5FA8">
      <w:pPr>
        <w:pStyle w:val="ListParagraph"/>
        <w:autoSpaceDE w:val="0"/>
        <w:autoSpaceDN w:val="0"/>
        <w:adjustRightInd w:val="0"/>
        <w:spacing w:before="120" w:after="120"/>
        <w:ind w:left="0"/>
        <w:jc w:val="both"/>
        <w:rPr>
          <w:b/>
        </w:rPr>
        <w:sectPr w:rsidR="0071541B" w:rsidSect="00273EA0">
          <w:type w:val="continuous"/>
          <w:pgSz w:w="11906" w:h="16838"/>
          <w:pgMar w:top="1417" w:right="849" w:bottom="1417" w:left="1134" w:header="708" w:footer="708" w:gutter="0"/>
          <w:cols w:space="283"/>
          <w:docGrid w:linePitch="360"/>
        </w:sectPr>
      </w:pPr>
      <w:bookmarkStart w:id="0" w:name="_Toc259192502"/>
      <w:bookmarkStart w:id="1" w:name="_Toc271698357"/>
    </w:p>
    <w:p w:rsidR="001F5FA8" w:rsidRPr="00D6441B" w:rsidRDefault="001F5FA8" w:rsidP="001F5FA8">
      <w:pPr>
        <w:pStyle w:val="ListParagraph"/>
        <w:autoSpaceDE w:val="0"/>
        <w:autoSpaceDN w:val="0"/>
        <w:adjustRightInd w:val="0"/>
        <w:spacing w:before="120" w:after="120"/>
        <w:ind w:left="0"/>
        <w:jc w:val="both"/>
        <w:rPr>
          <w:b/>
        </w:rPr>
      </w:pPr>
    </w:p>
    <w:p w:rsidR="00715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Şekil 1’de görüldüğü üzere sızıntı suyundan kaynaklanan kirlilik yükleri noktasal (toplanan) ve yayılı olarak ikiye ayrılmaktadır. Noktasal olarak kabul edilen yükler, düzenli depolama alanlarından ve rehabilite edilen düzensiz </w:t>
      </w:r>
    </w:p>
    <w:p w:rsidR="0071541B" w:rsidRDefault="0071541B" w:rsidP="001F5FA8">
      <w:pPr>
        <w:spacing w:before="120" w:after="120" w:line="240" w:lineRule="auto"/>
        <w:jc w:val="both"/>
        <w:rPr>
          <w:rFonts w:ascii="Times New Roman" w:hAnsi="Times New Roman"/>
          <w:sz w:val="24"/>
          <w:szCs w:val="24"/>
        </w:rPr>
      </w:pPr>
    </w:p>
    <w:p w:rsidR="0071541B" w:rsidRDefault="0071541B"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depolama alanlarından; yayılı olarak kabul edilenler ise düzensiz depolama alanların ve rehabilite edilen düzensiz depolama alanlarından gelmektedir. Bu yüklerin yüzdelik dağılımı şekilde yer aldığı gibidir. </w:t>
      </w:r>
    </w:p>
    <w:p w:rsidR="001F5FA8" w:rsidRPr="00D6441B" w:rsidRDefault="001F5FA8" w:rsidP="001F5FA8">
      <w:pPr>
        <w:spacing w:before="120" w:after="120" w:line="240" w:lineRule="auto"/>
        <w:jc w:val="both"/>
        <w:rPr>
          <w:rFonts w:ascii="Times New Roman" w:hAnsi="Times New Roman"/>
          <w:sz w:val="24"/>
          <w:szCs w:val="24"/>
        </w:rPr>
      </w:pPr>
    </w:p>
    <w:p w:rsidR="0071541B" w:rsidRDefault="0071541B" w:rsidP="008D1314">
      <w:pPr>
        <w:autoSpaceDE w:val="0"/>
        <w:autoSpaceDN w:val="0"/>
        <w:adjustRightInd w:val="0"/>
        <w:spacing w:before="120" w:after="120" w:line="240" w:lineRule="auto"/>
        <w:jc w:val="both"/>
        <w:rPr>
          <w:rFonts w:ascii="Times New Roman" w:hAnsi="Times New Roman"/>
          <w:bCs/>
          <w:sz w:val="24"/>
          <w:szCs w:val="24"/>
        </w:rPr>
        <w:sectPr w:rsidR="0071541B" w:rsidSect="00273EA0">
          <w:type w:val="continuous"/>
          <w:pgSz w:w="11906" w:h="16838"/>
          <w:pgMar w:top="1417" w:right="849" w:bottom="1417" w:left="1134" w:header="708" w:footer="708" w:gutter="0"/>
          <w:cols w:num="2" w:space="283"/>
          <w:docGrid w:linePitch="360"/>
        </w:sectPr>
      </w:pPr>
    </w:p>
    <w:tbl>
      <w:tblPr>
        <w:tblW w:w="10137" w:type="dxa"/>
        <w:tblLook w:val="00A0" w:firstRow="1" w:lastRow="0" w:firstColumn="1" w:lastColumn="0" w:noHBand="0" w:noVBand="0"/>
      </w:tblPr>
      <w:tblGrid>
        <w:gridCol w:w="3331"/>
        <w:gridCol w:w="3404"/>
        <w:gridCol w:w="3404"/>
      </w:tblGrid>
      <w:tr w:rsidR="001F5FA8" w:rsidRPr="00D6441B" w:rsidTr="008D1314">
        <w:trPr>
          <w:trHeight w:val="2656"/>
        </w:trPr>
        <w:tc>
          <w:tcPr>
            <w:tcW w:w="3321" w:type="dxa"/>
          </w:tcPr>
          <w:p w:rsidR="001F5FA8" w:rsidRPr="00D6441B" w:rsidRDefault="001F5FA8" w:rsidP="008D1314">
            <w:pPr>
              <w:autoSpaceDE w:val="0"/>
              <w:autoSpaceDN w:val="0"/>
              <w:adjustRightInd w:val="0"/>
              <w:spacing w:before="120" w:after="120" w:line="240" w:lineRule="auto"/>
              <w:jc w:val="both"/>
              <w:rPr>
                <w:rFonts w:ascii="Times New Roman" w:hAnsi="Times New Roman"/>
                <w:bCs/>
                <w:sz w:val="24"/>
                <w:szCs w:val="24"/>
              </w:rPr>
            </w:pPr>
            <w:r>
              <w:rPr>
                <w:rFonts w:ascii="Times New Roman" w:hAnsi="Times New Roman"/>
                <w:noProof/>
                <w:sz w:val="24"/>
                <w:szCs w:val="24"/>
                <w:lang w:val="en-AU" w:eastAsia="en-AU"/>
              </w:rPr>
              <w:lastRenderedPageBreak/>
              <w:drawing>
                <wp:inline distT="0" distB="0" distL="0" distR="0">
                  <wp:extent cx="2047875" cy="1527438"/>
                  <wp:effectExtent l="0" t="0" r="0" b="0"/>
                  <wp:docPr id="30"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c>
          <w:tcPr>
            <w:tcW w:w="3408" w:type="dxa"/>
          </w:tcPr>
          <w:p w:rsidR="001F5FA8" w:rsidRPr="00D6441B" w:rsidRDefault="001F5FA8" w:rsidP="008D1314">
            <w:pPr>
              <w:autoSpaceDE w:val="0"/>
              <w:autoSpaceDN w:val="0"/>
              <w:adjustRightInd w:val="0"/>
              <w:spacing w:before="120" w:after="120" w:line="240" w:lineRule="auto"/>
              <w:jc w:val="both"/>
              <w:rPr>
                <w:rFonts w:ascii="Times New Roman" w:hAnsi="Times New Roman"/>
                <w:bCs/>
                <w:sz w:val="24"/>
                <w:szCs w:val="24"/>
              </w:rPr>
            </w:pPr>
            <w:r>
              <w:rPr>
                <w:rFonts w:ascii="Times New Roman" w:hAnsi="Times New Roman"/>
                <w:noProof/>
                <w:sz w:val="24"/>
                <w:szCs w:val="24"/>
                <w:lang w:val="en-AU" w:eastAsia="en-AU"/>
              </w:rPr>
              <w:drawing>
                <wp:inline distT="0" distB="0" distL="0" distR="0">
                  <wp:extent cx="2093102" cy="1524000"/>
                  <wp:effectExtent l="0" t="0" r="2540" b="0"/>
                  <wp:docPr id="31" name="Resi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c>
        <w:tc>
          <w:tcPr>
            <w:tcW w:w="3408" w:type="dxa"/>
          </w:tcPr>
          <w:p w:rsidR="001F5FA8" w:rsidRPr="00D6441B" w:rsidRDefault="001F5FA8" w:rsidP="008D1314">
            <w:pPr>
              <w:autoSpaceDE w:val="0"/>
              <w:autoSpaceDN w:val="0"/>
              <w:adjustRightInd w:val="0"/>
              <w:spacing w:before="120" w:after="120" w:line="240" w:lineRule="auto"/>
              <w:jc w:val="both"/>
              <w:rPr>
                <w:rFonts w:ascii="Times New Roman" w:hAnsi="Times New Roman"/>
                <w:noProof/>
                <w:sz w:val="24"/>
                <w:szCs w:val="24"/>
                <w:lang w:eastAsia="tr-TR"/>
              </w:rPr>
            </w:pPr>
            <w:r>
              <w:rPr>
                <w:rFonts w:ascii="Times New Roman" w:hAnsi="Times New Roman"/>
                <w:noProof/>
                <w:sz w:val="24"/>
                <w:szCs w:val="24"/>
                <w:lang w:val="en-AU" w:eastAsia="en-AU"/>
              </w:rPr>
              <w:drawing>
                <wp:inline distT="0" distB="0" distL="0" distR="0">
                  <wp:extent cx="2093102" cy="1524000"/>
                  <wp:effectExtent l="0" t="0" r="2540" b="0"/>
                  <wp:docPr id="32" name="Resi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1F5FA8" w:rsidRPr="00D6441B" w:rsidTr="008D1314">
        <w:trPr>
          <w:trHeight w:val="267"/>
        </w:trPr>
        <w:tc>
          <w:tcPr>
            <w:tcW w:w="10137" w:type="dxa"/>
            <w:gridSpan w:val="3"/>
          </w:tcPr>
          <w:p w:rsidR="001F5FA8" w:rsidRPr="00D6441B" w:rsidRDefault="001F5FA8" w:rsidP="008D1314">
            <w:pPr>
              <w:spacing w:before="120" w:after="120" w:line="240" w:lineRule="auto"/>
              <w:jc w:val="center"/>
              <w:rPr>
                <w:rFonts w:ascii="Times New Roman" w:hAnsi="Times New Roman"/>
                <w:b/>
                <w:bCs/>
                <w:sz w:val="24"/>
                <w:szCs w:val="24"/>
                <w:lang w:eastAsia="tr-TR"/>
              </w:rPr>
            </w:pPr>
            <w:bookmarkStart w:id="2" w:name="_Toc259192629"/>
            <w:bookmarkStart w:id="3" w:name="_Toc261608929"/>
            <w:bookmarkStart w:id="4" w:name="_Toc285048292"/>
            <w:r w:rsidRPr="00D6441B">
              <w:rPr>
                <w:rFonts w:ascii="Times New Roman" w:hAnsi="Times New Roman"/>
                <w:b/>
                <w:bCs/>
                <w:sz w:val="24"/>
                <w:szCs w:val="24"/>
                <w:lang w:eastAsia="tr-TR"/>
              </w:rPr>
              <w:t xml:space="preserve">Şekil 1. </w:t>
            </w:r>
            <w:r w:rsidRPr="00D6441B">
              <w:rPr>
                <w:rFonts w:ascii="Times New Roman" w:hAnsi="Times New Roman"/>
                <w:bCs/>
                <w:sz w:val="24"/>
                <w:szCs w:val="24"/>
                <w:lang w:eastAsia="tr-TR"/>
              </w:rPr>
              <w:t>Oluşan ve toplanan sızıntı suyu yüzdelik dağılımları</w:t>
            </w:r>
            <w:bookmarkEnd w:id="2"/>
            <w:bookmarkEnd w:id="3"/>
            <w:bookmarkEnd w:id="4"/>
          </w:p>
        </w:tc>
      </w:tr>
    </w:tbl>
    <w:p w:rsidR="001F5FA8" w:rsidRPr="00D6441B" w:rsidRDefault="001F5FA8" w:rsidP="001F5FA8">
      <w:pPr>
        <w:pStyle w:val="ListParagraph"/>
        <w:autoSpaceDE w:val="0"/>
        <w:autoSpaceDN w:val="0"/>
        <w:adjustRightInd w:val="0"/>
        <w:spacing w:before="120" w:after="120"/>
        <w:ind w:left="0"/>
        <w:jc w:val="both"/>
        <w:rPr>
          <w:i/>
        </w:rPr>
      </w:pPr>
      <w:r w:rsidRPr="00D6441B">
        <w:rPr>
          <w:i/>
          <w:vertAlign w:val="superscript"/>
        </w:rPr>
        <w:t>*</w:t>
      </w:r>
      <w:r w:rsidRPr="00D6441B">
        <w:rPr>
          <w:i/>
        </w:rPr>
        <w:t>Nüfusu 100.000’den fazla olan yerleşim yerlerinde, Çevre Kanunu Geçici Madde 4’e göre belirlenmiş olan Düzenli Depolama sahalarını işletmeye almak için aşılmaması gereken süredir. Ancak bu süre dolduğundan HKEP İş Takviminde bu tarih, 2012 yılı olarak öngörülmüştür.</w:t>
      </w:r>
    </w:p>
    <w:p w:rsidR="0071541B" w:rsidRDefault="0071541B" w:rsidP="001F5FA8">
      <w:pPr>
        <w:pStyle w:val="ListParagraph"/>
        <w:autoSpaceDE w:val="0"/>
        <w:autoSpaceDN w:val="0"/>
        <w:adjustRightInd w:val="0"/>
        <w:spacing w:before="120" w:after="120"/>
        <w:ind w:left="0"/>
        <w:jc w:val="both"/>
        <w:rPr>
          <w:b/>
        </w:rPr>
        <w:sectPr w:rsidR="0071541B" w:rsidSect="00273EA0">
          <w:type w:val="continuous"/>
          <w:pgSz w:w="11906" w:h="16838"/>
          <w:pgMar w:top="1417" w:right="849" w:bottom="1417" w:left="1134" w:header="708" w:footer="708" w:gutter="0"/>
          <w:cols w:space="283"/>
          <w:docGrid w:linePitch="360"/>
        </w:sectPr>
      </w:pPr>
    </w:p>
    <w:p w:rsidR="008D1314" w:rsidRPr="00D6441B" w:rsidRDefault="008D1314" w:rsidP="001F5FA8">
      <w:pPr>
        <w:pStyle w:val="ListParagraph"/>
        <w:autoSpaceDE w:val="0"/>
        <w:autoSpaceDN w:val="0"/>
        <w:adjustRightInd w:val="0"/>
        <w:spacing w:before="120" w:after="120"/>
        <w:ind w:left="0"/>
        <w:jc w:val="both"/>
        <w:rPr>
          <w:b/>
        </w:rPr>
      </w:pPr>
    </w:p>
    <w:p w:rsidR="001F5FA8" w:rsidRPr="0071541B" w:rsidRDefault="001F5FA8" w:rsidP="001F5FA8">
      <w:pPr>
        <w:pStyle w:val="ListParagraph"/>
        <w:numPr>
          <w:ilvl w:val="2"/>
          <w:numId w:val="1"/>
        </w:numPr>
        <w:autoSpaceDE w:val="0"/>
        <w:autoSpaceDN w:val="0"/>
        <w:adjustRightInd w:val="0"/>
        <w:spacing w:before="120" w:after="120"/>
        <w:ind w:left="0" w:firstLine="0"/>
        <w:contextualSpacing/>
        <w:jc w:val="both"/>
        <w:rPr>
          <w:b/>
        </w:rPr>
      </w:pPr>
      <w:r w:rsidRPr="00D6441B">
        <w:rPr>
          <w:b/>
        </w:rPr>
        <w:t>Düzensiz depolama alanları için sızıntı suyu hesapları</w:t>
      </w:r>
      <w:bookmarkEnd w:id="0"/>
      <w:bookmarkEnd w:id="1"/>
    </w:p>
    <w:p w:rsidR="001F5FA8" w:rsidRPr="002744C6" w:rsidRDefault="001F5FA8" w:rsidP="001F5FA8">
      <w:pPr>
        <w:pStyle w:val="ListParagraph"/>
        <w:numPr>
          <w:ilvl w:val="3"/>
          <w:numId w:val="1"/>
        </w:numPr>
        <w:autoSpaceDE w:val="0"/>
        <w:autoSpaceDN w:val="0"/>
        <w:adjustRightInd w:val="0"/>
        <w:spacing w:before="120" w:after="120"/>
        <w:ind w:left="0" w:firstLine="0"/>
        <w:contextualSpacing/>
        <w:jc w:val="both"/>
        <w:rPr>
          <w:b/>
          <w:bCs/>
          <w:i/>
        </w:rPr>
      </w:pPr>
      <w:r w:rsidRPr="00D6441B">
        <w:rPr>
          <w:b/>
          <w:bCs/>
          <w:i/>
        </w:rPr>
        <w:t>Mevcut düzensiz depolama alanları</w:t>
      </w:r>
    </w:p>
    <w:p w:rsidR="001F5FA8" w:rsidRPr="002744C6" w:rsidRDefault="001F5FA8" w:rsidP="001F5FA8">
      <w:pPr>
        <w:autoSpaceDE w:val="0"/>
        <w:autoSpaceDN w:val="0"/>
        <w:adjustRightInd w:val="0"/>
        <w:spacing w:before="120" w:after="120" w:line="240" w:lineRule="auto"/>
        <w:jc w:val="both"/>
        <w:rPr>
          <w:rFonts w:ascii="Times New Roman" w:hAnsi="Times New Roman"/>
          <w:bCs/>
          <w:sz w:val="24"/>
          <w:szCs w:val="24"/>
        </w:rPr>
      </w:pPr>
      <w:r w:rsidRPr="00D6441B">
        <w:rPr>
          <w:rFonts w:ascii="Times New Roman" w:hAnsi="Times New Roman"/>
          <w:sz w:val="24"/>
          <w:szCs w:val="24"/>
        </w:rPr>
        <w:t>Mevcut düzensiz depolama alanları için sızıntı suyu debileri yıllık ortalama yağış yükseklikleri</w:t>
      </w:r>
      <w:r w:rsidR="008D1314">
        <w:rPr>
          <w:rFonts w:ascii="Times New Roman" w:hAnsi="Times New Roman"/>
          <w:sz w:val="24"/>
          <w:szCs w:val="24"/>
        </w:rPr>
        <w:t xml:space="preserve"> </w:t>
      </w:r>
      <w:r w:rsidRPr="00D6441B">
        <w:rPr>
          <w:rFonts w:ascii="Times New Roman" w:hAnsi="Times New Roman"/>
          <w:sz w:val="24"/>
          <w:szCs w:val="24"/>
        </w:rPr>
        <w:t xml:space="preserve">kullanılarak aşağıda verilen denklem ile hesaplanmıştır. </w:t>
      </w:r>
    </w:p>
    <w:p w:rsidR="00BD213D" w:rsidRDefault="00BD213D" w:rsidP="001F5FA8">
      <w:pPr>
        <w:autoSpaceDE w:val="0"/>
        <w:autoSpaceDN w:val="0"/>
        <w:adjustRightInd w:val="0"/>
        <w:spacing w:before="120" w:after="120" w:line="240" w:lineRule="auto"/>
        <w:jc w:val="both"/>
        <w:rPr>
          <w:rFonts w:ascii="Times New Roman" w:hAnsi="Times New Roman"/>
          <w:bCs/>
          <w:i/>
          <w:sz w:val="24"/>
          <w:szCs w:val="24"/>
        </w:rPr>
      </w:pPr>
    </w:p>
    <w:p w:rsidR="0071541B" w:rsidRPr="00D6441B" w:rsidRDefault="001F5FA8" w:rsidP="001F5FA8">
      <w:pPr>
        <w:autoSpaceDE w:val="0"/>
        <w:autoSpaceDN w:val="0"/>
        <w:adjustRightInd w:val="0"/>
        <w:spacing w:before="120" w:after="120" w:line="240" w:lineRule="auto"/>
        <w:jc w:val="both"/>
        <w:rPr>
          <w:rFonts w:ascii="Times New Roman" w:hAnsi="Times New Roman"/>
          <w:bCs/>
          <w:i/>
          <w:sz w:val="24"/>
          <w:szCs w:val="24"/>
        </w:rPr>
      </w:pPr>
      <w:r w:rsidRPr="00D6441B">
        <w:rPr>
          <w:rFonts w:ascii="Times New Roman" w:hAnsi="Times New Roman"/>
          <w:bCs/>
          <w:i/>
          <w:sz w:val="24"/>
          <w:szCs w:val="24"/>
        </w:rPr>
        <w:t>Sızıntı Suyu Debisi (m</w:t>
      </w:r>
      <w:r w:rsidRPr="00D6441B">
        <w:rPr>
          <w:rFonts w:ascii="Times New Roman" w:hAnsi="Times New Roman"/>
          <w:bCs/>
          <w:i/>
          <w:sz w:val="24"/>
          <w:szCs w:val="24"/>
          <w:vertAlign w:val="superscript"/>
        </w:rPr>
        <w:t>3</w:t>
      </w:r>
      <w:r w:rsidRPr="00D6441B">
        <w:rPr>
          <w:rFonts w:ascii="Times New Roman" w:hAnsi="Times New Roman"/>
          <w:bCs/>
          <w:i/>
          <w:sz w:val="24"/>
          <w:szCs w:val="24"/>
        </w:rPr>
        <w:t>/yıl) = Düzensiz Depolama Alanı (m</w:t>
      </w:r>
      <w:r w:rsidRPr="00D6441B">
        <w:rPr>
          <w:rFonts w:ascii="Times New Roman" w:hAnsi="Times New Roman"/>
          <w:bCs/>
          <w:i/>
          <w:sz w:val="24"/>
          <w:szCs w:val="24"/>
          <w:vertAlign w:val="superscript"/>
        </w:rPr>
        <w:t>2</w:t>
      </w:r>
      <w:r w:rsidRPr="00D6441B">
        <w:rPr>
          <w:rFonts w:ascii="Times New Roman" w:hAnsi="Times New Roman"/>
          <w:bCs/>
          <w:i/>
          <w:sz w:val="24"/>
          <w:szCs w:val="24"/>
        </w:rPr>
        <w:t>) x Yıllık Ortalama Yağış Yüksekliği(m/yıl)</w:t>
      </w:r>
    </w:p>
    <w:p w:rsidR="0071541B" w:rsidRDefault="001F5FA8" w:rsidP="001F5FA8">
      <w:pPr>
        <w:autoSpaceDE w:val="0"/>
        <w:autoSpaceDN w:val="0"/>
        <w:adjustRightInd w:val="0"/>
        <w:spacing w:before="120" w:after="120" w:line="240" w:lineRule="auto"/>
        <w:jc w:val="both"/>
        <w:rPr>
          <w:rFonts w:ascii="Times New Roman" w:hAnsi="Times New Roman"/>
          <w:sz w:val="24"/>
          <w:szCs w:val="24"/>
        </w:rPr>
      </w:pPr>
      <w:bookmarkStart w:id="5" w:name="_Toc285048421"/>
      <w:r w:rsidRPr="00D6441B">
        <w:rPr>
          <w:rFonts w:ascii="Times New Roman" w:hAnsi="Times New Roman"/>
          <w:sz w:val="24"/>
          <w:szCs w:val="24"/>
        </w:rPr>
        <w:t>Hesaplamalar yapılırken, Devlet Meteoroloji İşleri Genel Müdürlüğü’nden alınan 1975-2009</w:t>
      </w:r>
    </w:p>
    <w:p w:rsidR="001F5FA8" w:rsidRPr="00D6441B" w:rsidRDefault="001F5FA8" w:rsidP="001F5FA8">
      <w:pPr>
        <w:autoSpaceDE w:val="0"/>
        <w:autoSpaceDN w:val="0"/>
        <w:adjustRightInd w:val="0"/>
        <w:spacing w:before="120" w:after="120" w:line="240" w:lineRule="auto"/>
        <w:jc w:val="both"/>
        <w:rPr>
          <w:rFonts w:ascii="Times New Roman" w:hAnsi="Times New Roman"/>
          <w:bCs/>
          <w:sz w:val="24"/>
          <w:szCs w:val="24"/>
        </w:rPr>
      </w:pPr>
      <w:r w:rsidRPr="00D6441B">
        <w:rPr>
          <w:rFonts w:ascii="Times New Roman" w:hAnsi="Times New Roman"/>
          <w:sz w:val="24"/>
          <w:szCs w:val="24"/>
        </w:rPr>
        <w:t xml:space="preserve">yılları arasındaki yağış verileri kullanılmıştır. </w:t>
      </w:r>
      <w:r w:rsidRPr="00D6441B">
        <w:rPr>
          <w:rFonts w:ascii="Times New Roman" w:hAnsi="Times New Roman"/>
          <w:bCs/>
          <w:sz w:val="24"/>
          <w:szCs w:val="24"/>
        </w:rPr>
        <w:t xml:space="preserve">Depolama alanlarının büyüklükleri saha </w:t>
      </w:r>
      <w:r w:rsidRPr="00D6441B">
        <w:rPr>
          <w:rFonts w:ascii="Times New Roman" w:hAnsi="Times New Roman"/>
          <w:bCs/>
          <w:sz w:val="24"/>
          <w:szCs w:val="24"/>
        </w:rPr>
        <w:lastRenderedPageBreak/>
        <w:t>çalışmaları ile tespit edilmiştir.</w:t>
      </w:r>
      <w:r w:rsidRPr="00D6441B">
        <w:rPr>
          <w:rFonts w:ascii="Times New Roman" w:hAnsi="Times New Roman"/>
          <w:sz w:val="24"/>
          <w:szCs w:val="24"/>
        </w:rPr>
        <w:t xml:space="preserve"> </w:t>
      </w:r>
      <w:r w:rsidRPr="00D6441B">
        <w:rPr>
          <w:rFonts w:ascii="Times New Roman" w:hAnsi="Times New Roman"/>
          <w:bCs/>
          <w:sz w:val="24"/>
          <w:szCs w:val="24"/>
        </w:rPr>
        <w:t xml:space="preserve"> Sızıntı suyu kirletici yük hesaplamaları KOİ, TN, TP </w:t>
      </w:r>
      <w:r w:rsidR="00510831">
        <w:rPr>
          <w:rFonts w:ascii="Times New Roman" w:hAnsi="Times New Roman"/>
          <w:bCs/>
          <w:sz w:val="24"/>
          <w:szCs w:val="24"/>
        </w:rPr>
        <w:br w:type="column"/>
      </w:r>
      <w:r w:rsidRPr="00D6441B">
        <w:rPr>
          <w:rFonts w:ascii="Times New Roman" w:hAnsi="Times New Roman"/>
          <w:bCs/>
          <w:sz w:val="24"/>
          <w:szCs w:val="24"/>
        </w:rPr>
        <w:lastRenderedPageBreak/>
        <w:t xml:space="preserve">parametreleri için yapılmıştır. Bu hesaplamalar sırasında yıllara göre kullanılan değerler </w:t>
      </w:r>
      <w:r w:rsidRPr="00D6441B">
        <w:rPr>
          <w:rFonts w:ascii="Times New Roman" w:hAnsi="Times New Roman"/>
          <w:b/>
          <w:bCs/>
          <w:sz w:val="24"/>
          <w:szCs w:val="24"/>
        </w:rPr>
        <w:t>Tablo 2</w:t>
      </w:r>
      <w:r w:rsidRPr="00D6441B">
        <w:rPr>
          <w:rFonts w:ascii="Times New Roman" w:hAnsi="Times New Roman"/>
          <w:bCs/>
          <w:sz w:val="24"/>
          <w:szCs w:val="24"/>
        </w:rPr>
        <w:t>’de verildiği gibidir.</w:t>
      </w:r>
    </w:p>
    <w:p w:rsidR="001F5FA8" w:rsidRPr="00D6441B" w:rsidRDefault="001F5FA8" w:rsidP="001F5FA8">
      <w:pPr>
        <w:spacing w:before="120" w:after="120" w:line="240" w:lineRule="auto"/>
        <w:jc w:val="both"/>
        <w:rPr>
          <w:rFonts w:ascii="Times New Roman" w:hAnsi="Times New Roman"/>
          <w:b/>
          <w:bCs/>
          <w:sz w:val="24"/>
          <w:szCs w:val="24"/>
          <w:lang w:eastAsia="tr-TR"/>
        </w:rPr>
      </w:pPr>
    </w:p>
    <w:p w:rsidR="0071541B" w:rsidRDefault="0071541B" w:rsidP="001F5FA8">
      <w:pPr>
        <w:spacing w:before="120" w:after="120" w:line="240" w:lineRule="auto"/>
        <w:jc w:val="both"/>
        <w:rPr>
          <w:rFonts w:ascii="Times New Roman" w:hAnsi="Times New Roman"/>
          <w:b/>
          <w:bCs/>
          <w:sz w:val="24"/>
          <w:szCs w:val="24"/>
          <w:lang w:eastAsia="tr-TR"/>
        </w:rPr>
        <w:sectPr w:rsidR="0071541B" w:rsidSect="00907EDD">
          <w:type w:val="continuous"/>
          <w:pgSz w:w="11906" w:h="16838"/>
          <w:pgMar w:top="1417" w:right="849" w:bottom="1417" w:left="1134" w:header="708" w:footer="340" w:gutter="0"/>
          <w:cols w:num="2" w:space="283"/>
          <w:docGrid w:linePitch="360"/>
        </w:sectPr>
      </w:pPr>
    </w:p>
    <w:p w:rsidR="001F5FA8" w:rsidRPr="00D6441B" w:rsidRDefault="001F5FA8" w:rsidP="001F5FA8">
      <w:pPr>
        <w:spacing w:before="120" w:after="120" w:line="240" w:lineRule="auto"/>
        <w:jc w:val="both"/>
        <w:rPr>
          <w:rFonts w:ascii="Times New Roman" w:hAnsi="Times New Roman"/>
          <w:bCs/>
          <w:sz w:val="24"/>
          <w:szCs w:val="24"/>
          <w:lang w:eastAsia="tr-TR"/>
        </w:rPr>
      </w:pPr>
      <w:r w:rsidRPr="00D6441B">
        <w:rPr>
          <w:rFonts w:ascii="Times New Roman" w:hAnsi="Times New Roman"/>
          <w:b/>
          <w:bCs/>
          <w:sz w:val="24"/>
          <w:szCs w:val="24"/>
          <w:lang w:eastAsia="tr-TR"/>
        </w:rPr>
        <w:lastRenderedPageBreak/>
        <w:t>Tablo 2.</w:t>
      </w:r>
      <w:r w:rsidRPr="00D6441B">
        <w:rPr>
          <w:rFonts w:ascii="Times New Roman" w:hAnsi="Times New Roman"/>
          <w:bCs/>
          <w:sz w:val="24"/>
          <w:szCs w:val="24"/>
          <w:lang w:eastAsia="tr-TR"/>
        </w:rPr>
        <w:t xml:space="preserve"> Sızıntı suyu ortalama kirletici konsantrasyonları</w:t>
      </w:r>
      <w:bookmarkEnd w:id="5"/>
    </w:p>
    <w:tbl>
      <w:tblPr>
        <w:tblW w:w="9938" w:type="dxa"/>
        <w:tblInd w:w="55" w:type="dxa"/>
        <w:tblCellMar>
          <w:left w:w="70" w:type="dxa"/>
          <w:right w:w="70" w:type="dxa"/>
        </w:tblCellMar>
        <w:tblLook w:val="00A0" w:firstRow="1" w:lastRow="0" w:firstColumn="1" w:lastColumn="0" w:noHBand="0" w:noVBand="0"/>
      </w:tblPr>
      <w:tblGrid>
        <w:gridCol w:w="2663"/>
        <w:gridCol w:w="2597"/>
        <w:gridCol w:w="2410"/>
        <w:gridCol w:w="2268"/>
      </w:tblGrid>
      <w:tr w:rsidR="001F5FA8" w:rsidRPr="00D6441B" w:rsidTr="008D1314">
        <w:trPr>
          <w:trHeight w:val="247"/>
        </w:trPr>
        <w:tc>
          <w:tcPr>
            <w:tcW w:w="2663" w:type="dxa"/>
            <w:tcBorders>
              <w:top w:val="single" w:sz="8" w:space="0" w:color="auto"/>
              <w:left w:val="single" w:sz="8" w:space="0" w:color="auto"/>
              <w:bottom w:val="single" w:sz="4" w:space="0" w:color="auto"/>
              <w:right w:val="single" w:sz="8" w:space="0" w:color="auto"/>
            </w:tcBorders>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Konsantrasyon (mg/L)</w:t>
            </w:r>
          </w:p>
        </w:tc>
        <w:tc>
          <w:tcPr>
            <w:tcW w:w="2597" w:type="dxa"/>
            <w:tcBorders>
              <w:top w:val="single" w:sz="8" w:space="0" w:color="auto"/>
              <w:left w:val="nil"/>
              <w:bottom w:val="single" w:sz="4" w:space="0" w:color="auto"/>
              <w:right w:val="single" w:sz="4" w:space="0" w:color="auto"/>
            </w:tcBorders>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2010'a kadar</w:t>
            </w:r>
          </w:p>
        </w:tc>
        <w:tc>
          <w:tcPr>
            <w:tcW w:w="2410" w:type="dxa"/>
            <w:tcBorders>
              <w:top w:val="single" w:sz="8" w:space="0" w:color="auto"/>
              <w:left w:val="nil"/>
              <w:bottom w:val="single" w:sz="4" w:space="0" w:color="auto"/>
              <w:right w:val="single" w:sz="4" w:space="0" w:color="auto"/>
            </w:tcBorders>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2010-2030</w:t>
            </w:r>
          </w:p>
        </w:tc>
        <w:tc>
          <w:tcPr>
            <w:tcW w:w="2268" w:type="dxa"/>
            <w:tcBorders>
              <w:top w:val="single" w:sz="8" w:space="0" w:color="auto"/>
              <w:left w:val="nil"/>
              <w:bottom w:val="single" w:sz="4" w:space="0" w:color="auto"/>
              <w:right w:val="single" w:sz="8" w:space="0" w:color="auto"/>
            </w:tcBorders>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2030-2040</w:t>
            </w:r>
          </w:p>
        </w:tc>
      </w:tr>
      <w:tr w:rsidR="001F5FA8" w:rsidRPr="00D6441B" w:rsidTr="008D1314">
        <w:trPr>
          <w:trHeight w:val="222"/>
        </w:trPr>
        <w:tc>
          <w:tcPr>
            <w:tcW w:w="2663" w:type="dxa"/>
            <w:tcBorders>
              <w:top w:val="nil"/>
              <w:left w:val="single" w:sz="8" w:space="0" w:color="auto"/>
              <w:bottom w:val="single" w:sz="4" w:space="0" w:color="auto"/>
              <w:right w:val="single" w:sz="8"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KOİ</w:t>
            </w:r>
          </w:p>
        </w:tc>
        <w:tc>
          <w:tcPr>
            <w:tcW w:w="2597" w:type="dxa"/>
            <w:tcBorders>
              <w:top w:val="nil"/>
              <w:left w:val="nil"/>
              <w:bottom w:val="single" w:sz="4" w:space="0" w:color="auto"/>
              <w:right w:val="single" w:sz="4"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5000</w:t>
            </w:r>
          </w:p>
        </w:tc>
        <w:tc>
          <w:tcPr>
            <w:tcW w:w="2410" w:type="dxa"/>
            <w:tcBorders>
              <w:top w:val="nil"/>
              <w:left w:val="nil"/>
              <w:bottom w:val="single" w:sz="4" w:space="0" w:color="auto"/>
              <w:right w:val="single" w:sz="4"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2500</w:t>
            </w:r>
          </w:p>
        </w:tc>
        <w:tc>
          <w:tcPr>
            <w:tcW w:w="2268" w:type="dxa"/>
            <w:tcBorders>
              <w:top w:val="nil"/>
              <w:left w:val="nil"/>
              <w:bottom w:val="single" w:sz="4" w:space="0" w:color="auto"/>
              <w:right w:val="single" w:sz="8"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250</w:t>
            </w:r>
          </w:p>
        </w:tc>
      </w:tr>
      <w:tr w:rsidR="001F5FA8" w:rsidRPr="00D6441B" w:rsidTr="008D1314">
        <w:trPr>
          <w:trHeight w:val="222"/>
        </w:trPr>
        <w:tc>
          <w:tcPr>
            <w:tcW w:w="2663" w:type="dxa"/>
            <w:tcBorders>
              <w:top w:val="nil"/>
              <w:left w:val="single" w:sz="8" w:space="0" w:color="auto"/>
              <w:bottom w:val="single" w:sz="4" w:space="0" w:color="auto"/>
              <w:right w:val="single" w:sz="8"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TN</w:t>
            </w:r>
          </w:p>
        </w:tc>
        <w:tc>
          <w:tcPr>
            <w:tcW w:w="2597" w:type="dxa"/>
            <w:tcBorders>
              <w:top w:val="nil"/>
              <w:left w:val="nil"/>
              <w:bottom w:val="single" w:sz="4" w:space="0" w:color="auto"/>
              <w:right w:val="single" w:sz="4"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400</w:t>
            </w:r>
          </w:p>
        </w:tc>
        <w:tc>
          <w:tcPr>
            <w:tcW w:w="2410" w:type="dxa"/>
            <w:tcBorders>
              <w:top w:val="nil"/>
              <w:left w:val="nil"/>
              <w:bottom w:val="single" w:sz="4" w:space="0" w:color="auto"/>
              <w:right w:val="single" w:sz="4"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200</w:t>
            </w:r>
          </w:p>
        </w:tc>
        <w:tc>
          <w:tcPr>
            <w:tcW w:w="2268" w:type="dxa"/>
            <w:tcBorders>
              <w:top w:val="nil"/>
              <w:left w:val="nil"/>
              <w:bottom w:val="single" w:sz="4" w:space="0" w:color="auto"/>
              <w:right w:val="single" w:sz="8"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20</w:t>
            </w:r>
          </w:p>
        </w:tc>
      </w:tr>
      <w:tr w:rsidR="001F5FA8" w:rsidRPr="00D6441B" w:rsidTr="008D1314">
        <w:trPr>
          <w:trHeight w:val="235"/>
        </w:trPr>
        <w:tc>
          <w:tcPr>
            <w:tcW w:w="2663" w:type="dxa"/>
            <w:tcBorders>
              <w:top w:val="nil"/>
              <w:left w:val="single" w:sz="8" w:space="0" w:color="auto"/>
              <w:bottom w:val="single" w:sz="8" w:space="0" w:color="auto"/>
              <w:right w:val="single" w:sz="8"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TP</w:t>
            </w:r>
          </w:p>
        </w:tc>
        <w:tc>
          <w:tcPr>
            <w:tcW w:w="2597" w:type="dxa"/>
            <w:tcBorders>
              <w:top w:val="nil"/>
              <w:left w:val="nil"/>
              <w:bottom w:val="single" w:sz="8" w:space="0" w:color="auto"/>
              <w:right w:val="single" w:sz="4"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w:t>
            </w:r>
          </w:p>
        </w:tc>
        <w:tc>
          <w:tcPr>
            <w:tcW w:w="2410" w:type="dxa"/>
            <w:tcBorders>
              <w:top w:val="nil"/>
              <w:left w:val="nil"/>
              <w:bottom w:val="single" w:sz="8" w:space="0" w:color="auto"/>
              <w:right w:val="single" w:sz="4"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w:t>
            </w:r>
          </w:p>
        </w:tc>
        <w:tc>
          <w:tcPr>
            <w:tcW w:w="2268" w:type="dxa"/>
            <w:tcBorders>
              <w:top w:val="nil"/>
              <w:left w:val="nil"/>
              <w:bottom w:val="single" w:sz="8" w:space="0" w:color="auto"/>
              <w:right w:val="single" w:sz="8" w:space="0" w:color="auto"/>
            </w:tcBorders>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0,5</w:t>
            </w:r>
          </w:p>
        </w:tc>
      </w:tr>
    </w:tbl>
    <w:p w:rsidR="001F5FA8" w:rsidRPr="00D6441B" w:rsidRDefault="001F5FA8" w:rsidP="001F5FA8">
      <w:pPr>
        <w:autoSpaceDE w:val="0"/>
        <w:autoSpaceDN w:val="0"/>
        <w:adjustRightInd w:val="0"/>
        <w:spacing w:before="120" w:after="120" w:line="240" w:lineRule="auto"/>
        <w:jc w:val="both"/>
        <w:rPr>
          <w:rFonts w:ascii="Times New Roman" w:hAnsi="Times New Roman"/>
          <w:bCs/>
          <w:i/>
          <w:sz w:val="24"/>
          <w:szCs w:val="24"/>
        </w:rPr>
      </w:pPr>
      <w:r w:rsidRPr="00D6441B">
        <w:rPr>
          <w:rFonts w:ascii="Times New Roman" w:hAnsi="Times New Roman"/>
          <w:bCs/>
          <w:i/>
          <w:sz w:val="24"/>
          <w:szCs w:val="24"/>
        </w:rPr>
        <w:t>Kaynak: ÇOB, Katı Atik Ana Planı, 2006/2009</w:t>
      </w:r>
    </w:p>
    <w:p w:rsidR="0071541B" w:rsidRDefault="0071541B" w:rsidP="001F5FA8">
      <w:pPr>
        <w:autoSpaceDE w:val="0"/>
        <w:autoSpaceDN w:val="0"/>
        <w:adjustRightInd w:val="0"/>
        <w:spacing w:before="120" w:after="120" w:line="240" w:lineRule="auto"/>
        <w:jc w:val="both"/>
        <w:rPr>
          <w:rFonts w:ascii="Times New Roman" w:hAnsi="Times New Roman"/>
          <w:sz w:val="24"/>
          <w:szCs w:val="24"/>
        </w:rPr>
        <w:sectPr w:rsidR="0071541B" w:rsidSect="00273EA0">
          <w:type w:val="continuous"/>
          <w:pgSz w:w="11906" w:h="16838"/>
          <w:pgMar w:top="1417" w:right="849" w:bottom="1417" w:left="1134" w:header="708" w:footer="708" w:gutter="0"/>
          <w:cols w:space="283"/>
          <w:docGrid w:linePitch="360"/>
        </w:sectPr>
      </w:pPr>
    </w:p>
    <w:p w:rsidR="0071541B" w:rsidRPr="00D6441B" w:rsidRDefault="0071541B" w:rsidP="001F5FA8">
      <w:pPr>
        <w:autoSpaceDE w:val="0"/>
        <w:autoSpaceDN w:val="0"/>
        <w:adjustRightInd w:val="0"/>
        <w:spacing w:before="120" w:after="120" w:line="240" w:lineRule="auto"/>
        <w:jc w:val="both"/>
        <w:rPr>
          <w:rFonts w:ascii="Times New Roman" w:hAnsi="Times New Roman"/>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Hesaplamalar yapılırken aşağıdaki kabuller yapılmıştır.</w:t>
      </w:r>
    </w:p>
    <w:p w:rsidR="001F5FA8" w:rsidRPr="00D6441B" w:rsidRDefault="001F5FA8" w:rsidP="001F5FA8">
      <w:pPr>
        <w:numPr>
          <w:ilvl w:val="0"/>
          <w:numId w:val="2"/>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Mevcut Düzensiz Depolama Alanları kapatıldıktan sonra sızıntı suyu debisinin %65 azalacağı kabul edilmiştir. (Depolama Alanı Kapatıldıktan Sonra Sızıntı Suyu Oluşma Faktörü: 0,35)</w:t>
      </w:r>
    </w:p>
    <w:p w:rsidR="001F5FA8" w:rsidRPr="00D6441B" w:rsidRDefault="001F5FA8" w:rsidP="001F5FA8">
      <w:pPr>
        <w:numPr>
          <w:ilvl w:val="0"/>
          <w:numId w:val="2"/>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Depolama alanı kapatıldıktan sonra, 30 yıl boyunca, sızıntı suyu toplanmaya devam edilecektir.</w:t>
      </w:r>
    </w:p>
    <w:p w:rsidR="001F5FA8" w:rsidRPr="00D6441B" w:rsidRDefault="001F5FA8" w:rsidP="001F5FA8">
      <w:pPr>
        <w:numPr>
          <w:ilvl w:val="0"/>
          <w:numId w:val="2"/>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Mevcut Düzensiz Depolama Alanları kapatıldıktan sonra oluşan sızıntı suyunun %50’ sinin toplanabileceği kabul edilmiştir.</w:t>
      </w:r>
    </w:p>
    <w:p w:rsidR="001F5FA8" w:rsidRPr="00D6441B" w:rsidRDefault="001F5FA8" w:rsidP="001F5FA8">
      <w:pPr>
        <w:numPr>
          <w:ilvl w:val="0"/>
          <w:numId w:val="2"/>
        </w:numPr>
        <w:autoSpaceDE w:val="0"/>
        <w:autoSpaceDN w:val="0"/>
        <w:adjustRightInd w:val="0"/>
        <w:spacing w:before="120" w:after="120" w:line="240" w:lineRule="auto"/>
        <w:ind w:left="0" w:firstLine="0"/>
        <w:jc w:val="both"/>
        <w:rPr>
          <w:rFonts w:ascii="Times New Roman" w:hAnsi="Times New Roman"/>
          <w:bCs/>
          <w:sz w:val="24"/>
          <w:szCs w:val="24"/>
        </w:rPr>
      </w:pPr>
      <w:r w:rsidRPr="00D6441B">
        <w:rPr>
          <w:rFonts w:ascii="Times New Roman" w:hAnsi="Times New Roman"/>
          <w:bCs/>
          <w:sz w:val="24"/>
          <w:szCs w:val="24"/>
        </w:rPr>
        <w:t>Sızıntı suyundaki her bir kirletici parametre yükünün, depolama alanı kapatıldıktan sonraki 20 yıl (2010-2030) için %50’ sine ineceği kabul edilmiştir (Tablo 2).</w:t>
      </w:r>
    </w:p>
    <w:p w:rsidR="0071541B" w:rsidRPr="00510831" w:rsidRDefault="001F5FA8" w:rsidP="0071541B">
      <w:pPr>
        <w:numPr>
          <w:ilvl w:val="0"/>
          <w:numId w:val="3"/>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 xml:space="preserve">Sızıntı suyundaki her bir kirletici parametre yükünün, depolama alanı kapatıldıktan 10 yıl sonra  (2030-2040) %5’ ine ineceği kabul edilmiştir </w:t>
      </w:r>
      <w:r w:rsidRPr="00D6441B">
        <w:rPr>
          <w:rFonts w:ascii="Times New Roman" w:hAnsi="Times New Roman"/>
          <w:bCs/>
          <w:sz w:val="24"/>
          <w:szCs w:val="24"/>
        </w:rPr>
        <w:t>(Tablo 2).</w:t>
      </w:r>
    </w:p>
    <w:p w:rsidR="0071541B" w:rsidRPr="0071541B" w:rsidRDefault="001F5FA8" w:rsidP="0071541B">
      <w:pPr>
        <w:numPr>
          <w:ilvl w:val="0"/>
          <w:numId w:val="3"/>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Sızıntı suyunun toplanmayan kısmının yayılı kaynak olduğu kabul edilmiştir.</w:t>
      </w:r>
    </w:p>
    <w:p w:rsidR="001F5FA8" w:rsidRPr="0071541B" w:rsidRDefault="001F5FA8" w:rsidP="001F5FA8">
      <w:pPr>
        <w:numPr>
          <w:ilvl w:val="0"/>
          <w:numId w:val="3"/>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Düzensiz depolama alanlarının kapanma tarihleri, Çevre Kanunu Geçici Madde 4’e göre belirlenmiştir.</w:t>
      </w:r>
    </w:p>
    <w:p w:rsidR="001F5FA8" w:rsidRPr="00D6441B" w:rsidRDefault="001F5FA8" w:rsidP="001F5FA8">
      <w:pPr>
        <w:autoSpaceDE w:val="0"/>
        <w:autoSpaceDN w:val="0"/>
        <w:adjustRightInd w:val="0"/>
        <w:spacing w:before="120" w:after="120" w:line="240" w:lineRule="auto"/>
        <w:jc w:val="both"/>
        <w:rPr>
          <w:rFonts w:ascii="Times New Roman" w:hAnsi="Times New Roman"/>
          <w:bCs/>
          <w:sz w:val="24"/>
          <w:szCs w:val="24"/>
          <w:u w:val="single"/>
        </w:rPr>
      </w:pPr>
    </w:p>
    <w:p w:rsidR="001F5FA8" w:rsidRPr="002744C6" w:rsidRDefault="001F5FA8" w:rsidP="001F5FA8">
      <w:pPr>
        <w:pStyle w:val="ListParagraph"/>
        <w:numPr>
          <w:ilvl w:val="3"/>
          <w:numId w:val="1"/>
        </w:numPr>
        <w:autoSpaceDE w:val="0"/>
        <w:autoSpaceDN w:val="0"/>
        <w:adjustRightInd w:val="0"/>
        <w:spacing w:before="120" w:after="120"/>
        <w:ind w:left="0" w:firstLine="0"/>
        <w:contextualSpacing/>
        <w:jc w:val="both"/>
        <w:rPr>
          <w:b/>
          <w:bCs/>
          <w:i/>
        </w:rPr>
      </w:pPr>
      <w:r w:rsidRPr="00D6441B">
        <w:rPr>
          <w:b/>
          <w:bCs/>
          <w:i/>
        </w:rPr>
        <w:t>Kapatılan düzensiz depolama alanları (Rehabilite edilmiş)</w:t>
      </w:r>
    </w:p>
    <w:p w:rsidR="00510831"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2.2.1.1’de anlatıldığı üzere rehabilite edilmiş düzensiz depolama alanları için sızıntı suyunun 30 yıl boyunca %50’sinin toplanabileceği kabul </w:t>
      </w:r>
    </w:p>
    <w:p w:rsidR="00510831" w:rsidRDefault="00510831" w:rsidP="001F5FA8">
      <w:pPr>
        <w:autoSpaceDE w:val="0"/>
        <w:autoSpaceDN w:val="0"/>
        <w:adjustRightInd w:val="0"/>
        <w:spacing w:before="120" w:after="120" w:line="240" w:lineRule="auto"/>
        <w:jc w:val="both"/>
        <w:rPr>
          <w:rFonts w:ascii="Times New Roman" w:hAnsi="Times New Roman"/>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edilmiştir. Depolama alanı kapatıldıktan sonra kirlilik yüklerinin 20 yıl içerisinde %50’sine ineceği, sonraki 10 yıl için %5’ine ineceği öngörülmüştür. Toplanamayan kısım da yayılı yük olarak hesaplanmıştır.</w:t>
      </w:r>
    </w:p>
    <w:p w:rsidR="001F5FA8" w:rsidRPr="00D6441B" w:rsidRDefault="001F5FA8" w:rsidP="001F5FA8">
      <w:pPr>
        <w:pStyle w:val="ListParagraph"/>
        <w:autoSpaceDE w:val="0"/>
        <w:autoSpaceDN w:val="0"/>
        <w:adjustRightInd w:val="0"/>
        <w:spacing w:before="120" w:after="120"/>
        <w:ind w:left="0"/>
        <w:jc w:val="both"/>
        <w:rPr>
          <w:b/>
          <w:bCs/>
          <w:i/>
        </w:rPr>
      </w:pPr>
    </w:p>
    <w:p w:rsidR="001F5FA8" w:rsidRPr="002744C6" w:rsidRDefault="001F5FA8" w:rsidP="001F5FA8">
      <w:pPr>
        <w:pStyle w:val="ListParagraph"/>
        <w:numPr>
          <w:ilvl w:val="3"/>
          <w:numId w:val="1"/>
        </w:numPr>
        <w:autoSpaceDE w:val="0"/>
        <w:autoSpaceDN w:val="0"/>
        <w:adjustRightInd w:val="0"/>
        <w:spacing w:before="120" w:after="120"/>
        <w:ind w:left="0" w:firstLine="0"/>
        <w:contextualSpacing/>
        <w:jc w:val="both"/>
        <w:rPr>
          <w:b/>
          <w:bCs/>
          <w:i/>
        </w:rPr>
      </w:pPr>
      <w:r w:rsidRPr="00D6441B">
        <w:rPr>
          <w:b/>
          <w:bCs/>
          <w:i/>
        </w:rPr>
        <w:t>Kapatılan düzensiz depolama alanları (Rehabilite edilmemiş)</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bookmarkStart w:id="6" w:name="_Toc259192503"/>
      <w:bookmarkStart w:id="7" w:name="_Toc271698358"/>
      <w:r w:rsidRPr="00D6441B">
        <w:rPr>
          <w:rFonts w:ascii="Times New Roman" w:hAnsi="Times New Roman"/>
          <w:sz w:val="24"/>
          <w:szCs w:val="24"/>
        </w:rPr>
        <w:t>Düzensiz depolama alanlarının bir kısmının da doğal yollarla ıslah olduğu kabul edilmiştir. Söz konusu alanlardan gelecek olan kirlilik yükünün hesaplarda dikkate alınması maksadıyla, mevcut düzensiz depolama alanları kirlilik yükü 1,1’lik emniyet katsayısı ile çarpılarak hesaplanmış, yük %10 oranında arttırılmıştır.</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p>
    <w:p w:rsidR="0071541B" w:rsidRPr="0071541B" w:rsidRDefault="001F5FA8" w:rsidP="0071541B">
      <w:pPr>
        <w:pStyle w:val="ListParagraph"/>
        <w:numPr>
          <w:ilvl w:val="2"/>
          <w:numId w:val="1"/>
        </w:numPr>
        <w:autoSpaceDE w:val="0"/>
        <w:autoSpaceDN w:val="0"/>
        <w:adjustRightInd w:val="0"/>
        <w:spacing w:before="120" w:after="120"/>
        <w:ind w:left="0" w:firstLine="0"/>
        <w:contextualSpacing/>
        <w:jc w:val="both"/>
        <w:rPr>
          <w:b/>
        </w:rPr>
      </w:pPr>
      <w:r w:rsidRPr="00D6441B">
        <w:rPr>
          <w:b/>
        </w:rPr>
        <w:t>Düzenli depolama alanları için sızıntı suyu hesapları</w:t>
      </w:r>
      <w:bookmarkEnd w:id="6"/>
      <w:bookmarkEnd w:id="7"/>
    </w:p>
    <w:p w:rsidR="001F5FA8" w:rsidRPr="002744C6" w:rsidRDefault="001F5FA8" w:rsidP="001F5FA8">
      <w:pPr>
        <w:pStyle w:val="ListParagraph"/>
        <w:numPr>
          <w:ilvl w:val="3"/>
          <w:numId w:val="1"/>
        </w:numPr>
        <w:autoSpaceDE w:val="0"/>
        <w:autoSpaceDN w:val="0"/>
        <w:adjustRightInd w:val="0"/>
        <w:spacing w:before="120" w:after="120"/>
        <w:ind w:left="0" w:firstLine="0"/>
        <w:contextualSpacing/>
        <w:jc w:val="both"/>
        <w:rPr>
          <w:b/>
          <w:bCs/>
          <w:i/>
        </w:rPr>
      </w:pPr>
      <w:r w:rsidRPr="00D6441B">
        <w:rPr>
          <w:b/>
        </w:rPr>
        <w:t xml:space="preserve"> </w:t>
      </w:r>
      <w:r w:rsidRPr="00D6441B">
        <w:rPr>
          <w:b/>
          <w:bCs/>
          <w:i/>
        </w:rPr>
        <w:t>Mevcut düzenli depolama alanları</w:t>
      </w:r>
    </w:p>
    <w:p w:rsidR="001F5FA8" w:rsidRPr="002744C6"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Düzenli depolamalardan kaynaklanan sızıntı suyu hesabında, ilçelerin 2010 yılı eşdeğer nüfusları ve KAAP tip proje atık akışları kullanılmıştır.</w:t>
      </w:r>
    </w:p>
    <w:p w:rsidR="001F5FA8" w:rsidRPr="00D6441B" w:rsidRDefault="001F5FA8" w:rsidP="001F5FA8">
      <w:pPr>
        <w:autoSpaceDE w:val="0"/>
        <w:autoSpaceDN w:val="0"/>
        <w:adjustRightInd w:val="0"/>
        <w:spacing w:before="120" w:after="120" w:line="240" w:lineRule="auto"/>
        <w:jc w:val="both"/>
        <w:rPr>
          <w:rFonts w:ascii="Times New Roman" w:hAnsi="Times New Roman"/>
          <w:bCs/>
          <w:i/>
          <w:sz w:val="24"/>
          <w:szCs w:val="24"/>
        </w:rPr>
      </w:pPr>
      <w:r w:rsidRPr="00D6441B">
        <w:rPr>
          <w:rFonts w:ascii="Times New Roman" w:hAnsi="Times New Roman"/>
          <w:bCs/>
          <w:i/>
          <w:sz w:val="24"/>
          <w:szCs w:val="24"/>
        </w:rPr>
        <w:t>Sızıntı Suyu Debisi (m</w:t>
      </w:r>
      <w:r w:rsidRPr="00D6441B">
        <w:rPr>
          <w:rFonts w:ascii="Times New Roman" w:hAnsi="Times New Roman"/>
          <w:bCs/>
          <w:i/>
          <w:sz w:val="24"/>
          <w:szCs w:val="24"/>
          <w:vertAlign w:val="superscript"/>
        </w:rPr>
        <w:t>3</w:t>
      </w:r>
      <w:r w:rsidRPr="00D6441B">
        <w:rPr>
          <w:rFonts w:ascii="Times New Roman" w:hAnsi="Times New Roman"/>
          <w:bCs/>
          <w:i/>
          <w:sz w:val="24"/>
          <w:szCs w:val="24"/>
        </w:rPr>
        <w:t>/yıl) = Atığın su miktarı (m</w:t>
      </w:r>
      <w:r w:rsidRPr="00D6441B">
        <w:rPr>
          <w:rFonts w:ascii="Times New Roman" w:hAnsi="Times New Roman"/>
          <w:bCs/>
          <w:i/>
          <w:sz w:val="24"/>
          <w:szCs w:val="24"/>
          <w:vertAlign w:val="superscript"/>
        </w:rPr>
        <w:t>3</w:t>
      </w:r>
      <w:r w:rsidRPr="00D6441B">
        <w:rPr>
          <w:rFonts w:ascii="Times New Roman" w:hAnsi="Times New Roman"/>
          <w:bCs/>
          <w:i/>
          <w:sz w:val="24"/>
          <w:szCs w:val="24"/>
        </w:rPr>
        <w:t xml:space="preserve">/yıl) - Atığın bozunması sırasında tüketilen su </w:t>
      </w:r>
    </w:p>
    <w:p w:rsidR="001F5FA8" w:rsidRPr="002744C6" w:rsidRDefault="001F5FA8" w:rsidP="001F5FA8">
      <w:pPr>
        <w:autoSpaceDE w:val="0"/>
        <w:autoSpaceDN w:val="0"/>
        <w:adjustRightInd w:val="0"/>
        <w:spacing w:before="120" w:after="120" w:line="240" w:lineRule="auto"/>
        <w:jc w:val="both"/>
        <w:rPr>
          <w:rFonts w:ascii="Times New Roman" w:hAnsi="Times New Roman"/>
          <w:bCs/>
          <w:i/>
          <w:sz w:val="24"/>
          <w:szCs w:val="24"/>
        </w:rPr>
      </w:pPr>
      <w:r w:rsidRPr="00D6441B">
        <w:rPr>
          <w:rFonts w:ascii="Times New Roman" w:hAnsi="Times New Roman"/>
          <w:bCs/>
          <w:i/>
          <w:sz w:val="24"/>
          <w:szCs w:val="24"/>
        </w:rPr>
        <w:t>miktarı (m</w:t>
      </w:r>
      <w:r w:rsidRPr="00D6441B">
        <w:rPr>
          <w:rFonts w:ascii="Times New Roman" w:hAnsi="Times New Roman"/>
          <w:bCs/>
          <w:i/>
          <w:sz w:val="24"/>
          <w:szCs w:val="24"/>
          <w:vertAlign w:val="superscript"/>
        </w:rPr>
        <w:t>3</w:t>
      </w:r>
      <w:r w:rsidRPr="00D6441B">
        <w:rPr>
          <w:rFonts w:ascii="Times New Roman" w:hAnsi="Times New Roman"/>
          <w:bCs/>
          <w:i/>
          <w:sz w:val="24"/>
          <w:szCs w:val="24"/>
        </w:rPr>
        <w:t>/yıl) + Yağış sızma miktarı (m</w:t>
      </w:r>
      <w:r w:rsidRPr="00D6441B">
        <w:rPr>
          <w:rFonts w:ascii="Times New Roman" w:hAnsi="Times New Roman"/>
          <w:bCs/>
          <w:i/>
          <w:sz w:val="24"/>
          <w:szCs w:val="24"/>
          <w:vertAlign w:val="superscript"/>
        </w:rPr>
        <w:t>3</w:t>
      </w:r>
      <w:r w:rsidRPr="00D6441B">
        <w:rPr>
          <w:rFonts w:ascii="Times New Roman" w:hAnsi="Times New Roman"/>
          <w:bCs/>
          <w:i/>
          <w:sz w:val="24"/>
          <w:szCs w:val="24"/>
        </w:rPr>
        <w:t>/yıl)</w:t>
      </w:r>
    </w:p>
    <w:p w:rsidR="001F5FA8" w:rsidRPr="00D6441B" w:rsidRDefault="001F5FA8" w:rsidP="001F5FA8">
      <w:pPr>
        <w:autoSpaceDE w:val="0"/>
        <w:autoSpaceDN w:val="0"/>
        <w:adjustRightInd w:val="0"/>
        <w:spacing w:before="120" w:after="120" w:line="240" w:lineRule="auto"/>
        <w:jc w:val="both"/>
        <w:rPr>
          <w:rFonts w:ascii="Times New Roman" w:hAnsi="Times New Roman"/>
          <w:bCs/>
          <w:sz w:val="24"/>
          <w:szCs w:val="24"/>
        </w:rPr>
      </w:pPr>
      <w:r w:rsidRPr="00D6441B">
        <w:rPr>
          <w:rFonts w:ascii="Times New Roman" w:hAnsi="Times New Roman"/>
          <w:bCs/>
          <w:sz w:val="24"/>
          <w:szCs w:val="24"/>
        </w:rPr>
        <w:t xml:space="preserve">Sızıntı suyu kirletici yük hesaplamaları KOİ, TN, TP parametreleri için yapılmıştır. Bu hesaplamalar sırasında yıllara göre kullanılan değerler </w:t>
      </w:r>
      <w:r w:rsidRPr="00D6441B">
        <w:rPr>
          <w:rFonts w:ascii="Times New Roman" w:hAnsi="Times New Roman"/>
          <w:b/>
          <w:bCs/>
          <w:sz w:val="24"/>
          <w:szCs w:val="24"/>
        </w:rPr>
        <w:t>Tablo 3</w:t>
      </w:r>
      <w:r w:rsidRPr="00D6441B">
        <w:rPr>
          <w:rFonts w:ascii="Times New Roman" w:hAnsi="Times New Roman"/>
          <w:bCs/>
          <w:sz w:val="24"/>
          <w:szCs w:val="24"/>
        </w:rPr>
        <w:t>’de verildiği gibidir.</w:t>
      </w:r>
    </w:p>
    <w:p w:rsidR="001F5FA8" w:rsidRPr="00D6441B" w:rsidRDefault="001F5FA8" w:rsidP="001F5FA8">
      <w:pPr>
        <w:spacing w:before="120" w:after="120" w:line="240" w:lineRule="auto"/>
        <w:jc w:val="both"/>
        <w:rPr>
          <w:rFonts w:ascii="Times New Roman" w:hAnsi="Times New Roman"/>
          <w:b/>
          <w:bCs/>
          <w:sz w:val="24"/>
          <w:szCs w:val="24"/>
          <w:lang w:eastAsia="tr-TR"/>
        </w:rPr>
      </w:pPr>
      <w:bookmarkStart w:id="8" w:name="_Toc273369785"/>
      <w:bookmarkStart w:id="9" w:name="_Toc285048424"/>
    </w:p>
    <w:p w:rsidR="0071541B" w:rsidRDefault="0071541B" w:rsidP="001F5FA8">
      <w:pPr>
        <w:spacing w:before="120" w:after="120" w:line="240" w:lineRule="auto"/>
        <w:jc w:val="both"/>
        <w:rPr>
          <w:rFonts w:ascii="Times New Roman" w:hAnsi="Times New Roman"/>
          <w:b/>
          <w:bCs/>
          <w:sz w:val="24"/>
          <w:szCs w:val="24"/>
          <w:lang w:eastAsia="tr-TR"/>
        </w:rPr>
        <w:sectPr w:rsidR="0071541B" w:rsidSect="00273EA0">
          <w:type w:val="continuous"/>
          <w:pgSz w:w="11906" w:h="16838"/>
          <w:pgMar w:top="1417" w:right="849" w:bottom="1417" w:left="1134" w:header="708" w:footer="708" w:gutter="0"/>
          <w:cols w:num="2" w:space="283"/>
          <w:docGrid w:linePitch="360"/>
        </w:sectPr>
      </w:pPr>
    </w:p>
    <w:p w:rsidR="001F5FA8" w:rsidRPr="00D6441B" w:rsidRDefault="001F5FA8" w:rsidP="001F5FA8">
      <w:pPr>
        <w:spacing w:before="120" w:after="120" w:line="240" w:lineRule="auto"/>
        <w:jc w:val="both"/>
        <w:rPr>
          <w:rFonts w:ascii="Times New Roman" w:hAnsi="Times New Roman"/>
          <w:bCs/>
          <w:sz w:val="24"/>
          <w:szCs w:val="24"/>
          <w:lang w:eastAsia="tr-TR"/>
        </w:rPr>
      </w:pPr>
      <w:r w:rsidRPr="00D6441B">
        <w:rPr>
          <w:rFonts w:ascii="Times New Roman" w:hAnsi="Times New Roman"/>
          <w:b/>
          <w:bCs/>
          <w:sz w:val="24"/>
          <w:szCs w:val="24"/>
          <w:lang w:eastAsia="tr-TR"/>
        </w:rPr>
        <w:lastRenderedPageBreak/>
        <w:t>Tablo 3.</w:t>
      </w:r>
      <w:r w:rsidRPr="00D6441B">
        <w:rPr>
          <w:rFonts w:ascii="Times New Roman" w:hAnsi="Times New Roman"/>
          <w:bCs/>
          <w:sz w:val="24"/>
          <w:szCs w:val="24"/>
          <w:lang w:eastAsia="tr-TR"/>
        </w:rPr>
        <w:t xml:space="preserve"> Düzenli depolama tesisleri sızıntı suyu ortalama kirletici konsantrasyonları</w:t>
      </w:r>
      <w:bookmarkEnd w:id="8"/>
      <w:bookmarkEnd w:id="9"/>
    </w:p>
    <w:tbl>
      <w:tblPr>
        <w:tblW w:w="4931" w:type="pct"/>
        <w:tblInd w:w="70" w:type="dxa"/>
        <w:tblLayout w:type="fixed"/>
        <w:tblCellMar>
          <w:left w:w="70" w:type="dxa"/>
          <w:right w:w="70" w:type="dxa"/>
        </w:tblCellMar>
        <w:tblLook w:val="00A0" w:firstRow="1" w:lastRow="0" w:firstColumn="1" w:lastColumn="0" w:noHBand="0" w:noVBand="0"/>
      </w:tblPr>
      <w:tblGrid>
        <w:gridCol w:w="2695"/>
        <w:gridCol w:w="2551"/>
        <w:gridCol w:w="2410"/>
        <w:gridCol w:w="2268"/>
      </w:tblGrid>
      <w:tr w:rsidR="001F5FA8" w:rsidRPr="00D6441B" w:rsidTr="008D1314">
        <w:trPr>
          <w:trHeight w:val="119"/>
        </w:trPr>
        <w:tc>
          <w:tcPr>
            <w:tcW w:w="2694" w:type="dxa"/>
            <w:tcBorders>
              <w:top w:val="single" w:sz="8" w:space="0" w:color="auto"/>
              <w:left w:val="single" w:sz="8" w:space="0" w:color="auto"/>
              <w:bottom w:val="single" w:sz="4" w:space="0" w:color="auto"/>
              <w:right w:val="single" w:sz="8" w:space="0" w:color="auto"/>
            </w:tcBorders>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Konsantrasyon (mg/l)</w:t>
            </w:r>
          </w:p>
        </w:tc>
        <w:tc>
          <w:tcPr>
            <w:tcW w:w="2551" w:type="dxa"/>
            <w:tcBorders>
              <w:top w:val="single" w:sz="8" w:space="0" w:color="auto"/>
              <w:left w:val="nil"/>
              <w:bottom w:val="single" w:sz="4" w:space="0" w:color="auto"/>
              <w:right w:val="single" w:sz="4" w:space="0" w:color="auto"/>
            </w:tcBorders>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2010'a kadar</w:t>
            </w:r>
          </w:p>
        </w:tc>
        <w:tc>
          <w:tcPr>
            <w:tcW w:w="2410" w:type="dxa"/>
            <w:tcBorders>
              <w:top w:val="single" w:sz="8" w:space="0" w:color="auto"/>
              <w:left w:val="nil"/>
              <w:bottom w:val="single" w:sz="4" w:space="0" w:color="auto"/>
              <w:right w:val="single" w:sz="4" w:space="0" w:color="auto"/>
            </w:tcBorders>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2010-2030</w:t>
            </w:r>
          </w:p>
        </w:tc>
        <w:tc>
          <w:tcPr>
            <w:tcW w:w="2268" w:type="dxa"/>
            <w:tcBorders>
              <w:top w:val="single" w:sz="8" w:space="0" w:color="auto"/>
              <w:left w:val="nil"/>
              <w:bottom w:val="single" w:sz="4" w:space="0" w:color="auto"/>
              <w:right w:val="single" w:sz="8" w:space="0" w:color="auto"/>
            </w:tcBorders>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2030-2040</w:t>
            </w:r>
          </w:p>
        </w:tc>
      </w:tr>
      <w:tr w:rsidR="001F5FA8" w:rsidRPr="00D6441B" w:rsidTr="008D1314">
        <w:trPr>
          <w:trHeight w:val="77"/>
        </w:trPr>
        <w:tc>
          <w:tcPr>
            <w:tcW w:w="2694" w:type="dxa"/>
            <w:tcBorders>
              <w:top w:val="nil"/>
              <w:left w:val="single" w:sz="8" w:space="0" w:color="auto"/>
              <w:bottom w:val="single" w:sz="4" w:space="0" w:color="auto"/>
              <w:right w:val="single" w:sz="8"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KOİ</w:t>
            </w:r>
          </w:p>
        </w:tc>
        <w:tc>
          <w:tcPr>
            <w:tcW w:w="2551" w:type="dxa"/>
            <w:tcBorders>
              <w:top w:val="nil"/>
              <w:left w:val="nil"/>
              <w:bottom w:val="single" w:sz="4" w:space="0" w:color="auto"/>
              <w:right w:val="single" w:sz="4"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4000</w:t>
            </w:r>
          </w:p>
        </w:tc>
        <w:tc>
          <w:tcPr>
            <w:tcW w:w="2410" w:type="dxa"/>
            <w:tcBorders>
              <w:top w:val="nil"/>
              <w:left w:val="nil"/>
              <w:bottom w:val="single" w:sz="4" w:space="0" w:color="auto"/>
              <w:right w:val="single" w:sz="4"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2000</w:t>
            </w:r>
          </w:p>
        </w:tc>
        <w:tc>
          <w:tcPr>
            <w:tcW w:w="2268" w:type="dxa"/>
            <w:tcBorders>
              <w:top w:val="nil"/>
              <w:left w:val="nil"/>
              <w:bottom w:val="single" w:sz="4" w:space="0" w:color="auto"/>
              <w:right w:val="single" w:sz="8"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500</w:t>
            </w:r>
          </w:p>
        </w:tc>
      </w:tr>
      <w:tr w:rsidR="001F5FA8" w:rsidRPr="00D6441B" w:rsidTr="008D1314">
        <w:trPr>
          <w:trHeight w:val="80"/>
        </w:trPr>
        <w:tc>
          <w:tcPr>
            <w:tcW w:w="2694" w:type="dxa"/>
            <w:tcBorders>
              <w:top w:val="nil"/>
              <w:left w:val="single" w:sz="8" w:space="0" w:color="auto"/>
              <w:bottom w:val="single" w:sz="4" w:space="0" w:color="auto"/>
              <w:right w:val="single" w:sz="8"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TN</w:t>
            </w:r>
          </w:p>
        </w:tc>
        <w:tc>
          <w:tcPr>
            <w:tcW w:w="2551" w:type="dxa"/>
            <w:tcBorders>
              <w:top w:val="nil"/>
              <w:left w:val="nil"/>
              <w:bottom w:val="single" w:sz="4" w:space="0" w:color="auto"/>
              <w:right w:val="single" w:sz="4"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1000</w:t>
            </w:r>
          </w:p>
        </w:tc>
        <w:tc>
          <w:tcPr>
            <w:tcW w:w="2410" w:type="dxa"/>
            <w:tcBorders>
              <w:top w:val="nil"/>
              <w:left w:val="nil"/>
              <w:bottom w:val="single" w:sz="4" w:space="0" w:color="auto"/>
              <w:right w:val="single" w:sz="4"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500</w:t>
            </w:r>
          </w:p>
        </w:tc>
        <w:tc>
          <w:tcPr>
            <w:tcW w:w="2268" w:type="dxa"/>
            <w:tcBorders>
              <w:top w:val="nil"/>
              <w:left w:val="nil"/>
              <w:bottom w:val="single" w:sz="4" w:space="0" w:color="auto"/>
              <w:right w:val="single" w:sz="8"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100</w:t>
            </w:r>
          </w:p>
        </w:tc>
      </w:tr>
      <w:tr w:rsidR="001F5FA8" w:rsidRPr="00D6441B" w:rsidTr="008D1314">
        <w:trPr>
          <w:trHeight w:val="77"/>
        </w:trPr>
        <w:tc>
          <w:tcPr>
            <w:tcW w:w="2694" w:type="dxa"/>
            <w:tcBorders>
              <w:top w:val="nil"/>
              <w:left w:val="single" w:sz="8" w:space="0" w:color="auto"/>
              <w:bottom w:val="single" w:sz="8" w:space="0" w:color="auto"/>
              <w:right w:val="single" w:sz="8"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TP</w:t>
            </w:r>
          </w:p>
        </w:tc>
        <w:tc>
          <w:tcPr>
            <w:tcW w:w="2551" w:type="dxa"/>
            <w:tcBorders>
              <w:top w:val="nil"/>
              <w:left w:val="nil"/>
              <w:bottom w:val="single" w:sz="8" w:space="0" w:color="auto"/>
              <w:right w:val="single" w:sz="4"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w:t>
            </w:r>
          </w:p>
        </w:tc>
        <w:tc>
          <w:tcPr>
            <w:tcW w:w="2410" w:type="dxa"/>
            <w:tcBorders>
              <w:top w:val="nil"/>
              <w:left w:val="nil"/>
              <w:bottom w:val="single" w:sz="8" w:space="0" w:color="auto"/>
              <w:right w:val="single" w:sz="4"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w:t>
            </w:r>
          </w:p>
        </w:tc>
        <w:tc>
          <w:tcPr>
            <w:tcW w:w="2268" w:type="dxa"/>
            <w:tcBorders>
              <w:top w:val="nil"/>
              <w:left w:val="nil"/>
              <w:bottom w:val="single" w:sz="8" w:space="0" w:color="auto"/>
              <w:right w:val="single" w:sz="8" w:space="0" w:color="auto"/>
            </w:tcBorders>
            <w:noWrap/>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w:t>
            </w:r>
          </w:p>
        </w:tc>
      </w:tr>
    </w:tbl>
    <w:p w:rsidR="001F5FA8" w:rsidRPr="00D6441B" w:rsidRDefault="001F5FA8" w:rsidP="001F5FA8">
      <w:pPr>
        <w:autoSpaceDE w:val="0"/>
        <w:autoSpaceDN w:val="0"/>
        <w:adjustRightInd w:val="0"/>
        <w:spacing w:before="120" w:after="120" w:line="240" w:lineRule="auto"/>
        <w:jc w:val="both"/>
        <w:rPr>
          <w:rFonts w:ascii="Times New Roman" w:hAnsi="Times New Roman"/>
          <w:bCs/>
          <w:i/>
          <w:sz w:val="24"/>
          <w:szCs w:val="24"/>
        </w:rPr>
      </w:pPr>
      <w:r w:rsidRPr="00D6441B">
        <w:rPr>
          <w:rFonts w:ascii="Times New Roman" w:hAnsi="Times New Roman"/>
          <w:bCs/>
          <w:i/>
          <w:sz w:val="24"/>
          <w:szCs w:val="24"/>
        </w:rPr>
        <w:t>Kaynak: ÇOB, Katı Atık Ana Planı, 2006/2009</w:t>
      </w:r>
    </w:p>
    <w:p w:rsidR="0071541B" w:rsidRDefault="0071541B" w:rsidP="001F5FA8">
      <w:pPr>
        <w:autoSpaceDE w:val="0"/>
        <w:autoSpaceDN w:val="0"/>
        <w:adjustRightInd w:val="0"/>
        <w:spacing w:before="120" w:after="120" w:line="240" w:lineRule="auto"/>
        <w:jc w:val="both"/>
        <w:rPr>
          <w:rFonts w:ascii="Times New Roman" w:hAnsi="Times New Roman"/>
          <w:sz w:val="24"/>
          <w:szCs w:val="24"/>
        </w:rPr>
        <w:sectPr w:rsidR="0071541B" w:rsidSect="00907EDD">
          <w:type w:val="continuous"/>
          <w:pgSz w:w="11906" w:h="16838"/>
          <w:pgMar w:top="1417" w:right="849" w:bottom="1417" w:left="1134" w:header="708" w:footer="340" w:gutter="0"/>
          <w:cols w:space="283"/>
          <w:docGrid w:linePitch="360"/>
        </w:sect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lastRenderedPageBreak/>
        <w:t>Hesaplamalar yapılırken aşağıdaki kabuller yapılmıştır.</w:t>
      </w:r>
    </w:p>
    <w:p w:rsidR="001F5FA8" w:rsidRPr="00D6441B" w:rsidRDefault="001F5FA8" w:rsidP="001F5FA8">
      <w:pPr>
        <w:numPr>
          <w:ilvl w:val="0"/>
          <w:numId w:val="6"/>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 xml:space="preserve">Düzenli Depolama Alanı için </w:t>
      </w:r>
      <w:r w:rsidRPr="00510831">
        <w:rPr>
          <w:rFonts w:ascii="Times New Roman" w:hAnsi="Times New Roman"/>
          <w:b/>
          <w:sz w:val="24"/>
          <w:szCs w:val="24"/>
        </w:rPr>
        <w:t>depolanan atığın su muhtevası, ağırlıkça %30 olarak kabul</w:t>
      </w:r>
      <w:r w:rsidRPr="00D6441B">
        <w:rPr>
          <w:rFonts w:ascii="Times New Roman" w:hAnsi="Times New Roman"/>
          <w:sz w:val="24"/>
          <w:szCs w:val="24"/>
        </w:rPr>
        <w:t xml:space="preserve"> edilmiştir.</w:t>
      </w:r>
    </w:p>
    <w:p w:rsidR="001F5FA8" w:rsidRPr="00D6441B" w:rsidRDefault="001F5FA8" w:rsidP="001F5FA8">
      <w:pPr>
        <w:numPr>
          <w:ilvl w:val="0"/>
          <w:numId w:val="6"/>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Düzenli Depolama Alanı için depolanan atık için bozunma sonucu tüketilen su oranı ağırlıkça %24 olarak kabul edilmiştir.</w:t>
      </w:r>
    </w:p>
    <w:p w:rsidR="001F5FA8" w:rsidRPr="00D6441B" w:rsidRDefault="001F5FA8" w:rsidP="001F5FA8">
      <w:pPr>
        <w:numPr>
          <w:ilvl w:val="0"/>
          <w:numId w:val="6"/>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Kapatılan hücreler için yağış sızma oranı %20 olarak kabul edilmiştir.</w:t>
      </w:r>
    </w:p>
    <w:p w:rsidR="001F5FA8" w:rsidRPr="00D6441B" w:rsidRDefault="001F5FA8" w:rsidP="001F5FA8">
      <w:pPr>
        <w:numPr>
          <w:ilvl w:val="0"/>
          <w:numId w:val="6"/>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Düzenli Depolama Alanı kapatıldıktan sonra 10 yıl boyunca, sızıntı suyu toplanmaya devam edilecektir.</w:t>
      </w:r>
    </w:p>
    <w:p w:rsidR="001F5FA8" w:rsidRDefault="001F5FA8" w:rsidP="001F5FA8">
      <w:pPr>
        <w:numPr>
          <w:ilvl w:val="0"/>
          <w:numId w:val="6"/>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Düzenli Depolama Alanı kapatıldıktan sonraki sızıntı suyundaki kirletici parametre konsantrasyonları (KOİ, TK), ilk 5 yıl için %50’sine, ikinci 5 yıl %5’ine ineceği kabul edilmiştir. Sadece fosfor (TP) konsantrasyonu sabit alınmıştır.</w:t>
      </w:r>
    </w:p>
    <w:p w:rsidR="0071541B" w:rsidRDefault="0071541B" w:rsidP="0071541B">
      <w:pPr>
        <w:pStyle w:val="ListParagraph"/>
        <w:autoSpaceDE w:val="0"/>
        <w:autoSpaceDN w:val="0"/>
        <w:adjustRightInd w:val="0"/>
        <w:spacing w:before="120" w:after="120"/>
        <w:ind w:left="0"/>
        <w:contextualSpacing/>
        <w:jc w:val="both"/>
        <w:rPr>
          <w:b/>
          <w:bCs/>
          <w:i/>
        </w:rPr>
      </w:pPr>
    </w:p>
    <w:p w:rsidR="0071541B" w:rsidRPr="0071541B" w:rsidRDefault="001F5FA8" w:rsidP="001F5FA8">
      <w:pPr>
        <w:pStyle w:val="ListParagraph"/>
        <w:numPr>
          <w:ilvl w:val="3"/>
          <w:numId w:val="1"/>
        </w:numPr>
        <w:autoSpaceDE w:val="0"/>
        <w:autoSpaceDN w:val="0"/>
        <w:adjustRightInd w:val="0"/>
        <w:spacing w:before="120" w:after="120"/>
        <w:ind w:left="0" w:firstLine="0"/>
        <w:contextualSpacing/>
        <w:jc w:val="both"/>
        <w:rPr>
          <w:b/>
          <w:bCs/>
          <w:i/>
        </w:rPr>
      </w:pPr>
      <w:r w:rsidRPr="00D6441B">
        <w:rPr>
          <w:b/>
          <w:bCs/>
          <w:i/>
        </w:rPr>
        <w:t>İnşaatı planlanan düzenli depolama alanları</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Birlik nüfusları belirlendikten sonra KAAP’a göre Tip Projeler </w:t>
      </w:r>
      <w:r w:rsidR="008D1314">
        <w:rPr>
          <w:rFonts w:ascii="Times New Roman" w:hAnsi="Times New Roman"/>
          <w:sz w:val="24"/>
          <w:szCs w:val="24"/>
        </w:rPr>
        <w:t>seçilmiş ve mevcut düzenli</w:t>
      </w:r>
      <w:r w:rsidR="00510831">
        <w:rPr>
          <w:rFonts w:ascii="Times New Roman" w:hAnsi="Times New Roman"/>
          <w:sz w:val="24"/>
          <w:szCs w:val="24"/>
        </w:rPr>
        <w:t xml:space="preserve"> </w:t>
      </w:r>
      <w:r w:rsidRPr="00D6441B">
        <w:rPr>
          <w:rFonts w:ascii="Times New Roman" w:hAnsi="Times New Roman"/>
          <w:sz w:val="24"/>
          <w:szCs w:val="24"/>
        </w:rPr>
        <w:t>depolama alanlarında uygulanan aynı yöntemle oluşan sızıntı suyu miktarı ve kirletici yükleri hesaplanmıştır.</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pStyle w:val="ListParagraph"/>
        <w:numPr>
          <w:ilvl w:val="0"/>
          <w:numId w:val="1"/>
        </w:numPr>
        <w:spacing w:before="120" w:after="120"/>
        <w:ind w:left="0" w:firstLine="0"/>
        <w:contextualSpacing/>
        <w:jc w:val="both"/>
        <w:rPr>
          <w:b/>
        </w:rPr>
      </w:pPr>
      <w:bookmarkStart w:id="10" w:name="_Ref250463388"/>
      <w:bookmarkStart w:id="11" w:name="_Toc250490420"/>
      <w:bookmarkStart w:id="12" w:name="_Toc252373820"/>
      <w:r w:rsidRPr="00D6441B">
        <w:rPr>
          <w:b/>
        </w:rPr>
        <w:t>SONUÇLAR ve DEĞERLENDİRME</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highlight w:val="yellow"/>
        </w:rPr>
      </w:pPr>
    </w:p>
    <w:p w:rsidR="00510831"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Bu çalışmada öncelikle Burdur Havzası’ndaki mevcut durum ortaya konulmuş ve sonrasında birlik yapılanmasına göre katı atıklardan kaynaklanan sızıntı suları hesaplanmıştır. Burdur Havzası katı atık sızıntı suyu durum </w:t>
      </w:r>
    </w:p>
    <w:p w:rsidR="00510831" w:rsidRDefault="00510831" w:rsidP="001F5FA8">
      <w:pPr>
        <w:autoSpaceDE w:val="0"/>
        <w:autoSpaceDN w:val="0"/>
        <w:adjustRightInd w:val="0"/>
        <w:spacing w:before="120" w:after="120" w:line="240" w:lineRule="auto"/>
        <w:jc w:val="both"/>
        <w:rPr>
          <w:rFonts w:ascii="Times New Roman" w:hAnsi="Times New Roman"/>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lastRenderedPageBreak/>
        <w:t xml:space="preserve">değerlendirilmesi 2040 yılına kadar yapılmıştır. Bu zaman dilimi içerisinde, </w:t>
      </w:r>
    </w:p>
    <w:p w:rsidR="001F5FA8" w:rsidRPr="00D6441B" w:rsidRDefault="001F5FA8" w:rsidP="001F5FA8">
      <w:pPr>
        <w:pStyle w:val="ListParagraph"/>
        <w:numPr>
          <w:ilvl w:val="0"/>
          <w:numId w:val="4"/>
        </w:numPr>
        <w:autoSpaceDE w:val="0"/>
        <w:autoSpaceDN w:val="0"/>
        <w:adjustRightInd w:val="0"/>
        <w:spacing w:before="120" w:after="120"/>
        <w:ind w:left="0" w:firstLine="0"/>
        <w:contextualSpacing/>
        <w:jc w:val="both"/>
      </w:pPr>
      <w:r w:rsidRPr="00D6441B">
        <w:t>Havzadaki tüm belediyelerin atık birliklerine dahil olması,</w:t>
      </w:r>
    </w:p>
    <w:p w:rsidR="001F5FA8" w:rsidRPr="00D6441B" w:rsidRDefault="001F5FA8" w:rsidP="001F5FA8">
      <w:pPr>
        <w:pStyle w:val="ListParagraph"/>
        <w:numPr>
          <w:ilvl w:val="0"/>
          <w:numId w:val="4"/>
        </w:numPr>
        <w:autoSpaceDE w:val="0"/>
        <w:autoSpaceDN w:val="0"/>
        <w:adjustRightInd w:val="0"/>
        <w:spacing w:before="120" w:after="120"/>
        <w:ind w:left="0" w:firstLine="0"/>
        <w:contextualSpacing/>
        <w:jc w:val="both"/>
      </w:pPr>
      <w:r w:rsidRPr="00D6441B">
        <w:t xml:space="preserve">Atık depolama kapasitesini tamamlamış alanların kapatılması ve rehabilite edilmesi, </w:t>
      </w:r>
    </w:p>
    <w:p w:rsidR="001F5FA8" w:rsidRPr="00D6441B" w:rsidRDefault="001F5FA8" w:rsidP="001F5FA8">
      <w:pPr>
        <w:pStyle w:val="ListParagraph"/>
        <w:numPr>
          <w:ilvl w:val="0"/>
          <w:numId w:val="4"/>
        </w:numPr>
        <w:autoSpaceDE w:val="0"/>
        <w:autoSpaceDN w:val="0"/>
        <w:adjustRightInd w:val="0"/>
        <w:spacing w:before="120" w:after="120"/>
        <w:ind w:left="0" w:firstLine="0"/>
        <w:contextualSpacing/>
        <w:jc w:val="both"/>
      </w:pPr>
      <w:r w:rsidRPr="00D6441B">
        <w:t>Yeni bölgesel düzenli depolama tesislerinin kurulması,</w:t>
      </w:r>
    </w:p>
    <w:p w:rsidR="001F5FA8" w:rsidRPr="00D6441B" w:rsidRDefault="001F5FA8" w:rsidP="001F5FA8">
      <w:pPr>
        <w:pStyle w:val="ListParagraph"/>
        <w:numPr>
          <w:ilvl w:val="0"/>
          <w:numId w:val="4"/>
        </w:numPr>
        <w:autoSpaceDE w:val="0"/>
        <w:autoSpaceDN w:val="0"/>
        <w:adjustRightInd w:val="0"/>
        <w:spacing w:before="120" w:after="120"/>
        <w:ind w:left="0" w:firstLine="0"/>
        <w:contextualSpacing/>
        <w:jc w:val="both"/>
      </w:pPr>
      <w:r w:rsidRPr="00D6441B">
        <w:t xml:space="preserve">Rehabilite edilmiş düzensiz depolama sahalarından kaynaklanan (%50) ve düzenli depolama alanlarından gelen sızıntı sularının yerinde ön arıtmaya tabii tutulması ve sonrasında şehir kanalizasyon şebekesine bağlanarak veya vidanjörlerle taşınarak kentsel AAT’lere aktarılması dikkate alınmıştır.   </w:t>
      </w:r>
    </w:p>
    <w:p w:rsidR="001F5FA8" w:rsidRPr="00D6441B" w:rsidRDefault="001F5FA8" w:rsidP="001F5FA8">
      <w:pPr>
        <w:pStyle w:val="ListParagraph"/>
        <w:autoSpaceDE w:val="0"/>
        <w:autoSpaceDN w:val="0"/>
        <w:adjustRightInd w:val="0"/>
        <w:spacing w:before="120" w:after="120"/>
        <w:ind w:left="0"/>
        <w:jc w:val="both"/>
      </w:pPr>
    </w:p>
    <w:p w:rsidR="001F5FA8" w:rsidRPr="002744C6" w:rsidRDefault="001F5FA8" w:rsidP="001F5FA8">
      <w:pPr>
        <w:pStyle w:val="ListParagraph"/>
        <w:numPr>
          <w:ilvl w:val="1"/>
          <w:numId w:val="1"/>
        </w:numPr>
        <w:autoSpaceDE w:val="0"/>
        <w:autoSpaceDN w:val="0"/>
        <w:adjustRightInd w:val="0"/>
        <w:spacing w:before="120" w:after="120"/>
        <w:ind w:left="0" w:firstLine="0"/>
        <w:contextualSpacing/>
        <w:jc w:val="both"/>
        <w:rPr>
          <w:b/>
        </w:rPr>
      </w:pPr>
      <w:r w:rsidRPr="00D6441B">
        <w:rPr>
          <w:b/>
        </w:rPr>
        <w:t>Burdur Havzası Mevcut Katı Atık Durumunun Değerlendirilmesi</w:t>
      </w:r>
    </w:p>
    <w:p w:rsidR="001F5FA8" w:rsidRPr="00D6441B" w:rsidRDefault="001F5FA8" w:rsidP="001F5FA8">
      <w:pPr>
        <w:autoSpaceDE w:val="0"/>
        <w:autoSpaceDN w:val="0"/>
        <w:adjustRightInd w:val="0"/>
        <w:spacing w:before="120" w:after="120" w:line="240" w:lineRule="auto"/>
        <w:jc w:val="both"/>
        <w:rPr>
          <w:rFonts w:ascii="Times New Roman" w:hAnsi="Times New Roman"/>
          <w:b/>
          <w:sz w:val="24"/>
          <w:szCs w:val="24"/>
        </w:rPr>
      </w:pPr>
      <w:r w:rsidRPr="00D6441B">
        <w:rPr>
          <w:rFonts w:ascii="Times New Roman" w:hAnsi="Times New Roman"/>
          <w:sz w:val="24"/>
          <w:szCs w:val="24"/>
        </w:rPr>
        <w:t xml:space="preserve">Burdur Havzası içerisinde yer alan belediyelerin tamamına yakınında, katı atıklar düzensiz depolanarak bertaraf edilmektedir. Havza içerisinde sadece Isparta Koçtepe’de Katı Atık Düzenli Depolama Tesisi bulunmakta, Burdur’da ise yeni bir tesisin yapılması planlanmaktadır.  Havzada yer alan Isparta iline bağlı belediyeler, atıklarını, Koçtepe Katı Atık Düzenli Depolama Tesisine, çeşitli sebeplerle sürekli olarak taşıyamamakta, ancak belirli dönemlerde götürebilmektedirler. </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highlight w:val="yellow"/>
        </w:rPr>
      </w:pPr>
    </w:p>
    <w:p w:rsidR="001F5FA8" w:rsidRPr="002744C6" w:rsidRDefault="001F5FA8" w:rsidP="001F5FA8">
      <w:pPr>
        <w:pStyle w:val="ListParagraph"/>
        <w:numPr>
          <w:ilvl w:val="1"/>
          <w:numId w:val="1"/>
        </w:numPr>
        <w:autoSpaceDE w:val="0"/>
        <w:autoSpaceDN w:val="0"/>
        <w:adjustRightInd w:val="0"/>
        <w:spacing w:before="120" w:after="120"/>
        <w:ind w:left="0" w:firstLine="0"/>
        <w:contextualSpacing/>
        <w:jc w:val="both"/>
        <w:rPr>
          <w:b/>
        </w:rPr>
      </w:pPr>
      <w:r w:rsidRPr="00D6441B">
        <w:rPr>
          <w:b/>
        </w:rPr>
        <w:t>Burdur Havzası Önerilen Katı Atık Yönetim Birlikleri</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Burdur Havzası için sızıntı suyu hesaplamalarına esas teşkil eden Katı Atık Yönetim Birlikleri </w:t>
      </w:r>
      <w:r w:rsidRPr="00D6441B">
        <w:rPr>
          <w:rFonts w:ascii="Times New Roman" w:hAnsi="Times New Roman"/>
          <w:b/>
          <w:sz w:val="24"/>
          <w:szCs w:val="24"/>
        </w:rPr>
        <w:t>Tablo 4</w:t>
      </w:r>
      <w:r w:rsidRPr="00D6441B">
        <w:rPr>
          <w:rFonts w:ascii="Times New Roman" w:hAnsi="Times New Roman"/>
          <w:sz w:val="24"/>
          <w:szCs w:val="24"/>
        </w:rPr>
        <w:t xml:space="preserve">’de verilmektedir.  Burdur Havzası’nın katı atık birliklerini ve durumlarını (mevcut, inşaat, planlama) gösteren harita ise </w:t>
      </w:r>
      <w:r w:rsidRPr="00D6441B">
        <w:rPr>
          <w:rFonts w:ascii="Times New Roman" w:hAnsi="Times New Roman"/>
          <w:b/>
          <w:sz w:val="24"/>
          <w:szCs w:val="24"/>
        </w:rPr>
        <w:t>Şekil 2</w:t>
      </w:r>
      <w:r w:rsidRPr="00D6441B">
        <w:rPr>
          <w:rFonts w:ascii="Times New Roman" w:hAnsi="Times New Roman"/>
          <w:sz w:val="24"/>
          <w:szCs w:val="24"/>
        </w:rPr>
        <w:t xml:space="preserve">’de yer almaktadır.   </w:t>
      </w:r>
    </w:p>
    <w:p w:rsidR="0071541B" w:rsidRDefault="0071541B" w:rsidP="001F5FA8">
      <w:pPr>
        <w:spacing w:before="120" w:after="120" w:line="240" w:lineRule="auto"/>
        <w:jc w:val="both"/>
        <w:rPr>
          <w:rFonts w:ascii="Times New Roman" w:hAnsi="Times New Roman"/>
          <w:b/>
          <w:bCs/>
          <w:sz w:val="24"/>
          <w:szCs w:val="24"/>
          <w:lang w:eastAsia="tr-TR"/>
        </w:rPr>
        <w:sectPr w:rsidR="0071541B" w:rsidSect="00273EA0">
          <w:type w:val="continuous"/>
          <w:pgSz w:w="11906" w:h="16838"/>
          <w:pgMar w:top="1417" w:right="849" w:bottom="1417" w:left="1134" w:header="708" w:footer="708" w:gutter="0"/>
          <w:cols w:num="2" w:space="283"/>
          <w:docGrid w:linePitch="360"/>
        </w:sectPr>
      </w:pPr>
    </w:p>
    <w:p w:rsidR="00E5786D" w:rsidRDefault="00E5786D" w:rsidP="001F5FA8">
      <w:pPr>
        <w:spacing w:before="120" w:after="120" w:line="240" w:lineRule="auto"/>
        <w:jc w:val="both"/>
        <w:rPr>
          <w:rFonts w:ascii="Times New Roman" w:hAnsi="Times New Roman"/>
          <w:b/>
          <w:bCs/>
          <w:sz w:val="24"/>
          <w:szCs w:val="24"/>
          <w:lang w:eastAsia="tr-TR"/>
        </w:rPr>
      </w:pPr>
    </w:p>
    <w:p w:rsidR="001F5FA8" w:rsidRPr="00D6441B" w:rsidRDefault="001F5FA8" w:rsidP="001F5FA8">
      <w:pPr>
        <w:spacing w:before="120" w:after="120" w:line="240" w:lineRule="auto"/>
        <w:jc w:val="both"/>
        <w:rPr>
          <w:rFonts w:ascii="Times New Roman" w:hAnsi="Times New Roman"/>
          <w:bCs/>
          <w:sz w:val="24"/>
          <w:szCs w:val="24"/>
          <w:lang w:eastAsia="tr-TR"/>
        </w:rPr>
      </w:pPr>
      <w:r w:rsidRPr="00D6441B">
        <w:rPr>
          <w:rFonts w:ascii="Times New Roman" w:hAnsi="Times New Roman"/>
          <w:b/>
          <w:bCs/>
          <w:sz w:val="24"/>
          <w:szCs w:val="24"/>
          <w:lang w:eastAsia="tr-TR"/>
        </w:rPr>
        <w:lastRenderedPageBreak/>
        <w:t xml:space="preserve">Tablo 4. </w:t>
      </w:r>
      <w:r w:rsidRPr="00D6441B">
        <w:rPr>
          <w:rFonts w:ascii="Times New Roman" w:hAnsi="Times New Roman"/>
          <w:bCs/>
          <w:sz w:val="24"/>
          <w:szCs w:val="24"/>
          <w:lang w:eastAsia="tr-TR"/>
        </w:rPr>
        <w:t>Burdur Havzası için sızıntı suyu hesaplarında kullanılan atık yönetim birlikleri</w:t>
      </w: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2"/>
        <w:gridCol w:w="2665"/>
        <w:gridCol w:w="4961"/>
        <w:gridCol w:w="1215"/>
      </w:tblGrid>
      <w:tr w:rsidR="001F5FA8" w:rsidRPr="00D6441B" w:rsidTr="008D1314">
        <w:trPr>
          <w:trHeight w:val="346"/>
        </w:trPr>
        <w:tc>
          <w:tcPr>
            <w:tcW w:w="518" w:type="pct"/>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İl</w:t>
            </w:r>
          </w:p>
        </w:tc>
        <w:tc>
          <w:tcPr>
            <w:tcW w:w="1351" w:type="pct"/>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 xml:space="preserve"> Birlik Adı</w:t>
            </w:r>
          </w:p>
        </w:tc>
        <w:tc>
          <w:tcPr>
            <w:tcW w:w="2515" w:type="pct"/>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Üye Belediyeler</w:t>
            </w:r>
          </w:p>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(İlçeler)</w:t>
            </w:r>
          </w:p>
        </w:tc>
        <w:tc>
          <w:tcPr>
            <w:tcW w:w="616" w:type="pct"/>
            <w:shd w:val="clear" w:color="auto" w:fill="auto"/>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Birlik Nüfusu (2010)</w:t>
            </w:r>
          </w:p>
        </w:tc>
      </w:tr>
      <w:tr w:rsidR="001F5FA8" w:rsidRPr="00D6441B" w:rsidTr="008D1314">
        <w:trPr>
          <w:trHeight w:val="237"/>
        </w:trPr>
        <w:tc>
          <w:tcPr>
            <w:tcW w:w="518" w:type="pct"/>
            <w:noWrap/>
            <w:vAlign w:val="center"/>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Burdur</w:t>
            </w:r>
          </w:p>
        </w:tc>
        <w:tc>
          <w:tcPr>
            <w:tcW w:w="1351" w:type="pct"/>
            <w:vAlign w:val="center"/>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Burdur Katı Atık Birliği</w:t>
            </w:r>
          </w:p>
        </w:tc>
        <w:tc>
          <w:tcPr>
            <w:tcW w:w="2515" w:type="pct"/>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Burdur Merkez, Ağlasun, Altınyayla, Bucak, Çavdır, Çeltikçi, Gölhisar, Karamanlı, Kemer, Tefenni, Yeşilova</w:t>
            </w:r>
          </w:p>
        </w:tc>
        <w:tc>
          <w:tcPr>
            <w:tcW w:w="616" w:type="pct"/>
            <w:noWrap/>
            <w:vAlign w:val="center"/>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rPr>
              <w:t>251.181</w:t>
            </w:r>
          </w:p>
        </w:tc>
      </w:tr>
      <w:tr w:rsidR="001F5FA8" w:rsidRPr="00D6441B" w:rsidTr="008D1314">
        <w:trPr>
          <w:trHeight w:val="102"/>
        </w:trPr>
        <w:tc>
          <w:tcPr>
            <w:tcW w:w="518" w:type="pct"/>
            <w:noWrap/>
            <w:vAlign w:val="center"/>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Isparta</w:t>
            </w:r>
          </w:p>
        </w:tc>
        <w:tc>
          <w:tcPr>
            <w:tcW w:w="1351" w:type="pct"/>
            <w:vAlign w:val="center"/>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 xml:space="preserve"> Göl-Bir Belediyeler Birliği</w:t>
            </w:r>
          </w:p>
        </w:tc>
        <w:tc>
          <w:tcPr>
            <w:tcW w:w="2515" w:type="pct"/>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Isparta Merkez, Keçiborlu, Gönen, Atabey, Uluborlu, Senirkent, Sütçüler</w:t>
            </w:r>
            <w:r w:rsidRPr="00D6441B">
              <w:rPr>
                <w:rFonts w:ascii="Times New Roman" w:hAnsi="Times New Roman"/>
                <w:sz w:val="24"/>
                <w:szCs w:val="24"/>
                <w:vertAlign w:val="superscript"/>
                <w:lang w:eastAsia="tr-TR"/>
              </w:rPr>
              <w:t>*</w:t>
            </w:r>
            <w:r w:rsidRPr="00D6441B">
              <w:rPr>
                <w:rFonts w:ascii="Times New Roman" w:hAnsi="Times New Roman"/>
                <w:sz w:val="24"/>
                <w:szCs w:val="24"/>
                <w:lang w:eastAsia="tr-TR"/>
              </w:rPr>
              <w:t>, Aksu</w:t>
            </w:r>
            <w:r w:rsidRPr="00D6441B">
              <w:rPr>
                <w:rFonts w:ascii="Times New Roman" w:hAnsi="Times New Roman"/>
                <w:sz w:val="24"/>
                <w:szCs w:val="24"/>
                <w:vertAlign w:val="superscript"/>
                <w:lang w:eastAsia="tr-TR"/>
              </w:rPr>
              <w:t>*</w:t>
            </w:r>
            <w:r w:rsidRPr="00D6441B">
              <w:rPr>
                <w:rFonts w:ascii="Times New Roman" w:hAnsi="Times New Roman"/>
                <w:sz w:val="24"/>
                <w:szCs w:val="24"/>
                <w:lang w:eastAsia="tr-TR"/>
              </w:rPr>
              <w:t>, Eğirdir</w:t>
            </w:r>
            <w:r w:rsidRPr="00D6441B">
              <w:rPr>
                <w:rFonts w:ascii="Times New Roman" w:hAnsi="Times New Roman"/>
                <w:sz w:val="24"/>
                <w:szCs w:val="24"/>
                <w:vertAlign w:val="superscript"/>
                <w:lang w:eastAsia="tr-TR"/>
              </w:rPr>
              <w:t>*</w:t>
            </w:r>
          </w:p>
        </w:tc>
        <w:tc>
          <w:tcPr>
            <w:tcW w:w="616" w:type="pct"/>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389.207</w:t>
            </w:r>
          </w:p>
        </w:tc>
      </w:tr>
    </w:tbl>
    <w:p w:rsidR="001F5FA8" w:rsidRPr="00D6441B" w:rsidRDefault="001F5FA8" w:rsidP="001F5FA8">
      <w:pPr>
        <w:spacing w:before="120" w:after="120" w:line="240" w:lineRule="auto"/>
        <w:jc w:val="both"/>
        <w:rPr>
          <w:rFonts w:ascii="Times New Roman" w:hAnsi="Times New Roman"/>
          <w:i/>
          <w:sz w:val="24"/>
          <w:szCs w:val="24"/>
        </w:rPr>
      </w:pPr>
      <w:r w:rsidRPr="00D6441B">
        <w:rPr>
          <w:rFonts w:ascii="Times New Roman" w:hAnsi="Times New Roman"/>
          <w:i/>
          <w:sz w:val="24"/>
          <w:szCs w:val="24"/>
        </w:rPr>
        <w:t>Kaynak: ÇOB, 2010 ve Katı Atık Ana Planı II. Aşama Projesi, 2006/2009</w:t>
      </w:r>
    </w:p>
    <w:p w:rsidR="001F5FA8" w:rsidRPr="00D6441B" w:rsidRDefault="001F5FA8" w:rsidP="001F5FA8">
      <w:pPr>
        <w:spacing w:before="120" w:after="120" w:line="240" w:lineRule="auto"/>
        <w:jc w:val="both"/>
        <w:rPr>
          <w:rFonts w:ascii="Times New Roman" w:hAnsi="Times New Roman"/>
          <w:i/>
          <w:sz w:val="24"/>
          <w:szCs w:val="24"/>
        </w:rPr>
      </w:pPr>
      <w:r w:rsidRPr="00D6441B">
        <w:rPr>
          <w:rFonts w:ascii="Times New Roman" w:hAnsi="Times New Roman"/>
          <w:i/>
          <w:sz w:val="24"/>
          <w:szCs w:val="24"/>
        </w:rPr>
        <w:t>*Sütçüler, Aksu ve Eğirdir ilçeleri, Antalya Havzası sınırları içerisinde olmakla birlikte, Göl-Bir Belediyeler Birliğine üyedir ve hesaplamalara dahil edilmiştir.</w:t>
      </w:r>
    </w:p>
    <w:p w:rsidR="0071541B" w:rsidRDefault="0071541B" w:rsidP="001F5FA8">
      <w:pPr>
        <w:autoSpaceDE w:val="0"/>
        <w:autoSpaceDN w:val="0"/>
        <w:adjustRightInd w:val="0"/>
        <w:spacing w:before="120" w:after="120" w:line="240" w:lineRule="auto"/>
        <w:jc w:val="both"/>
        <w:rPr>
          <w:rFonts w:ascii="Times New Roman" w:hAnsi="Times New Roman"/>
          <w:sz w:val="24"/>
          <w:szCs w:val="24"/>
        </w:rPr>
        <w:sectPr w:rsidR="0071541B" w:rsidSect="00907EDD">
          <w:type w:val="continuous"/>
          <w:pgSz w:w="11906" w:h="16838"/>
          <w:pgMar w:top="1417" w:right="849" w:bottom="1417" w:left="1134" w:header="708" w:footer="340" w:gutter="0"/>
          <w:cols w:space="283"/>
          <w:docGrid w:linePitch="360"/>
        </w:sect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p>
    <w:p w:rsidR="0071541B" w:rsidRDefault="0071541B" w:rsidP="001F5FA8">
      <w:pPr>
        <w:autoSpaceDE w:val="0"/>
        <w:autoSpaceDN w:val="0"/>
        <w:adjustRightInd w:val="0"/>
        <w:spacing w:before="120" w:after="120" w:line="240" w:lineRule="auto"/>
        <w:jc w:val="both"/>
        <w:rPr>
          <w:rFonts w:ascii="Times New Roman" w:hAnsi="Times New Roman"/>
          <w:sz w:val="24"/>
          <w:szCs w:val="24"/>
        </w:rPr>
        <w:sectPr w:rsidR="0071541B" w:rsidSect="00273EA0">
          <w:type w:val="continuous"/>
          <w:pgSz w:w="11906" w:h="16838"/>
          <w:pgMar w:top="1417" w:right="849" w:bottom="1417" w:left="1134" w:header="708" w:footer="708" w:gutter="0"/>
          <w:cols w:num="2" w:space="283"/>
          <w:docGrid w:linePitch="360"/>
        </w:sect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noProof/>
          <w:sz w:val="24"/>
          <w:szCs w:val="24"/>
          <w:lang w:val="en-AU" w:eastAsia="en-AU"/>
        </w:rPr>
        <w:lastRenderedPageBreak/>
        <w:drawing>
          <wp:inline distT="0" distB="0" distL="0" distR="0">
            <wp:extent cx="3048000" cy="2009775"/>
            <wp:effectExtent l="19050" t="0" r="0" b="0"/>
            <wp:docPr id="33" name="Resim 2" descr="\\10.5.1.98\burdur\a4haritalar\BUbirlik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10.5.1.98\burdur\a4haritalar\BUbirlikler.jpg"/>
                    <pic:cNvPicPr>
                      <a:picLocks noChangeAspect="1" noChangeArrowheads="1"/>
                    </pic:cNvPicPr>
                  </pic:nvPicPr>
                  <pic:blipFill>
                    <a:blip r:embed="rId26" cstate="print"/>
                    <a:srcRect t="2864" b="3342"/>
                    <a:stretch>
                      <a:fillRect/>
                    </a:stretch>
                  </pic:blipFill>
                  <pic:spPr bwMode="auto">
                    <a:xfrm>
                      <a:off x="0" y="0"/>
                      <a:ext cx="3048000" cy="2009775"/>
                    </a:xfrm>
                    <a:prstGeom prst="rect">
                      <a:avLst/>
                    </a:prstGeom>
                    <a:noFill/>
                    <a:ln w="9525">
                      <a:noFill/>
                      <a:miter lim="800000"/>
                      <a:headEnd/>
                      <a:tailEnd/>
                    </a:ln>
                  </pic:spPr>
                </pic:pic>
              </a:graphicData>
            </a:graphic>
          </wp:inline>
        </w:drawing>
      </w:r>
      <w:r>
        <w:rPr>
          <w:rFonts w:ascii="Times New Roman" w:hAnsi="Times New Roman"/>
          <w:noProof/>
          <w:sz w:val="24"/>
          <w:szCs w:val="24"/>
          <w:lang w:val="en-AU" w:eastAsia="en-AU"/>
        </w:rPr>
        <w:drawing>
          <wp:inline distT="0" distB="0" distL="0" distR="0">
            <wp:extent cx="3009900" cy="2038350"/>
            <wp:effectExtent l="19050" t="0" r="0" b="0"/>
            <wp:docPr id="34" name="Resim 1" descr="\\10.5.1.98\burdur\a4haritalar\BUbirlikdu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10.5.1.98\burdur\a4haritalar\BUbirlikdurum.jpg"/>
                    <pic:cNvPicPr>
                      <a:picLocks noChangeAspect="1" noChangeArrowheads="1"/>
                    </pic:cNvPicPr>
                  </pic:nvPicPr>
                  <pic:blipFill>
                    <a:blip r:embed="rId27" cstate="print"/>
                    <a:srcRect l="1216" t="1909" r="1089" b="3580"/>
                    <a:stretch>
                      <a:fillRect/>
                    </a:stretch>
                  </pic:blipFill>
                  <pic:spPr bwMode="auto">
                    <a:xfrm>
                      <a:off x="0" y="0"/>
                      <a:ext cx="3009900" cy="2038350"/>
                    </a:xfrm>
                    <a:prstGeom prst="rect">
                      <a:avLst/>
                    </a:prstGeom>
                    <a:noFill/>
                    <a:ln w="9525">
                      <a:noFill/>
                      <a:miter lim="800000"/>
                      <a:headEnd/>
                      <a:tailEnd/>
                    </a:ln>
                  </pic:spPr>
                </pic:pic>
              </a:graphicData>
            </a:graphic>
          </wp:inline>
        </w:drawing>
      </w:r>
    </w:p>
    <w:p w:rsidR="001F5FA8" w:rsidRPr="00D6441B" w:rsidRDefault="001F5FA8" w:rsidP="001F5FA8">
      <w:pPr>
        <w:pStyle w:val="ListParagraph"/>
        <w:tabs>
          <w:tab w:val="left" w:pos="2268"/>
          <w:tab w:val="left" w:pos="7230"/>
        </w:tabs>
        <w:autoSpaceDE w:val="0"/>
        <w:autoSpaceDN w:val="0"/>
        <w:adjustRightInd w:val="0"/>
        <w:spacing w:before="120" w:after="120"/>
        <w:ind w:left="0"/>
        <w:jc w:val="both"/>
      </w:pPr>
      <w:r w:rsidRPr="00D6441B">
        <w:t xml:space="preserve">  </w:t>
      </w:r>
      <w:r w:rsidRPr="00D6441B">
        <w:tab/>
        <w:t xml:space="preserve">( a) </w:t>
      </w:r>
      <w:r w:rsidRPr="00D6441B">
        <w:tab/>
        <w:t>(b)</w:t>
      </w:r>
    </w:p>
    <w:p w:rsidR="001F5FA8" w:rsidRPr="00D6441B" w:rsidRDefault="001F5FA8" w:rsidP="001F5FA8">
      <w:pPr>
        <w:spacing w:before="120" w:after="120" w:line="240" w:lineRule="auto"/>
        <w:jc w:val="center"/>
        <w:rPr>
          <w:rFonts w:ascii="Times New Roman" w:hAnsi="Times New Roman"/>
          <w:bCs/>
          <w:sz w:val="24"/>
          <w:szCs w:val="24"/>
          <w:lang w:eastAsia="tr-TR"/>
        </w:rPr>
      </w:pPr>
      <w:r w:rsidRPr="00D6441B">
        <w:rPr>
          <w:rFonts w:ascii="Times New Roman" w:hAnsi="Times New Roman"/>
          <w:b/>
          <w:bCs/>
          <w:sz w:val="24"/>
          <w:szCs w:val="24"/>
          <w:lang w:eastAsia="tr-TR"/>
        </w:rPr>
        <w:t>Şekil 2.</w:t>
      </w:r>
      <w:r w:rsidRPr="00D6441B">
        <w:rPr>
          <w:rFonts w:ascii="Times New Roman" w:hAnsi="Times New Roman"/>
          <w:bCs/>
          <w:sz w:val="24"/>
          <w:szCs w:val="24"/>
          <w:lang w:eastAsia="tr-TR"/>
        </w:rPr>
        <w:t xml:space="preserve"> Burdur Havzası sızıntı suyu hesaplarına esas teşkil eden atık birlikleri (a) ve birliklerin durumunu gösterir (b) harita</w:t>
      </w:r>
    </w:p>
    <w:p w:rsidR="0071541B" w:rsidRDefault="0071541B" w:rsidP="001F5FA8">
      <w:pPr>
        <w:autoSpaceDE w:val="0"/>
        <w:autoSpaceDN w:val="0"/>
        <w:adjustRightInd w:val="0"/>
        <w:spacing w:before="120" w:after="120" w:line="240" w:lineRule="auto"/>
        <w:jc w:val="both"/>
        <w:rPr>
          <w:rFonts w:ascii="Times New Roman" w:hAnsi="Times New Roman"/>
          <w:sz w:val="24"/>
          <w:szCs w:val="24"/>
        </w:rPr>
        <w:sectPr w:rsidR="0071541B" w:rsidSect="00273EA0">
          <w:type w:val="continuous"/>
          <w:pgSz w:w="11906" w:h="16838"/>
          <w:pgMar w:top="1417" w:right="849" w:bottom="1417" w:left="1134" w:header="708" w:footer="708" w:gutter="0"/>
          <w:cols w:space="283"/>
          <w:docGrid w:linePitch="360"/>
        </w:sectPr>
      </w:pPr>
    </w:p>
    <w:p w:rsidR="008D1314" w:rsidRDefault="008D1314" w:rsidP="001F5FA8">
      <w:pPr>
        <w:autoSpaceDE w:val="0"/>
        <w:autoSpaceDN w:val="0"/>
        <w:adjustRightInd w:val="0"/>
        <w:spacing w:before="120" w:after="120" w:line="240" w:lineRule="auto"/>
        <w:jc w:val="both"/>
        <w:rPr>
          <w:rFonts w:ascii="Times New Roman" w:hAnsi="Times New Roman"/>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Burdur Havzası hesaplamaları yapılırken,</w:t>
      </w:r>
    </w:p>
    <w:p w:rsidR="001F5FA8" w:rsidRPr="00D6441B" w:rsidRDefault="001F5FA8" w:rsidP="001F5FA8">
      <w:pPr>
        <w:pStyle w:val="ListParagraph"/>
        <w:numPr>
          <w:ilvl w:val="0"/>
          <w:numId w:val="5"/>
        </w:numPr>
        <w:autoSpaceDE w:val="0"/>
        <w:autoSpaceDN w:val="0"/>
        <w:adjustRightInd w:val="0"/>
        <w:spacing w:before="120" w:after="120"/>
        <w:ind w:left="0" w:firstLine="0"/>
        <w:contextualSpacing/>
        <w:jc w:val="both"/>
        <w:rPr>
          <w:b/>
        </w:rPr>
      </w:pPr>
      <w:r w:rsidRPr="00D6441B">
        <w:t>Burdur Katı Atık Yönetim Birliğinin Düzenli Depolama Tesisinin 2012’de faaliyete geçeceği, 2012 yılından itibaren KAAP-Tip Proje 7’e göre faaliyetine devam edeceği öngörülerek hesap yapılmıştır.</w:t>
      </w:r>
    </w:p>
    <w:p w:rsidR="001F5FA8" w:rsidRPr="00D6441B" w:rsidRDefault="001F5FA8" w:rsidP="001F5FA8">
      <w:pPr>
        <w:pStyle w:val="ListParagraph"/>
        <w:numPr>
          <w:ilvl w:val="0"/>
          <w:numId w:val="5"/>
        </w:numPr>
        <w:autoSpaceDE w:val="0"/>
        <w:autoSpaceDN w:val="0"/>
        <w:adjustRightInd w:val="0"/>
        <w:spacing w:before="120" w:after="120"/>
        <w:ind w:left="0" w:firstLine="0"/>
        <w:contextualSpacing/>
        <w:jc w:val="both"/>
        <w:rPr>
          <w:b/>
        </w:rPr>
      </w:pPr>
      <w:r w:rsidRPr="00D6441B">
        <w:t>Göl-Bir Belediyeler Birliğinin Düzenli Depolama Tesisinin 2006’dan beri faaliyette olduğu, 2012 yılından itibaren KAAP-Tip Proje 8’e göre faaliyetine devam edeceği varsayılarak hesap yapılmıştır.</w:t>
      </w:r>
    </w:p>
    <w:bookmarkEnd w:id="10"/>
    <w:bookmarkEnd w:id="11"/>
    <w:bookmarkEnd w:id="12"/>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p>
    <w:p w:rsidR="001F5FA8" w:rsidRPr="00D6441B" w:rsidRDefault="001F5FA8" w:rsidP="001F5FA8">
      <w:pPr>
        <w:pStyle w:val="ListParagraph"/>
        <w:numPr>
          <w:ilvl w:val="1"/>
          <w:numId w:val="1"/>
        </w:numPr>
        <w:autoSpaceDE w:val="0"/>
        <w:autoSpaceDN w:val="0"/>
        <w:adjustRightInd w:val="0"/>
        <w:spacing w:before="120" w:after="120"/>
        <w:ind w:left="0" w:firstLine="0"/>
        <w:contextualSpacing/>
        <w:jc w:val="both"/>
        <w:rPr>
          <w:b/>
        </w:rPr>
      </w:pPr>
      <w:r w:rsidRPr="00D6441B">
        <w:rPr>
          <w:b/>
        </w:rPr>
        <w:t>Katı Atık Sızıntı Sularından Kaynaklanan Debi ve Kirlilik Yükleri</w:t>
      </w:r>
    </w:p>
    <w:p w:rsidR="001F5FA8" w:rsidRPr="00D6441B" w:rsidRDefault="001F5FA8" w:rsidP="001F5FA8">
      <w:pPr>
        <w:pStyle w:val="ListParagraph"/>
        <w:autoSpaceDE w:val="0"/>
        <w:autoSpaceDN w:val="0"/>
        <w:adjustRightInd w:val="0"/>
        <w:spacing w:before="120" w:after="120"/>
        <w:ind w:left="0"/>
        <w:jc w:val="both"/>
        <w:rPr>
          <w:b/>
        </w:rPr>
      </w:pPr>
    </w:p>
    <w:p w:rsidR="001F5FA8" w:rsidRPr="002744C6" w:rsidRDefault="001F5FA8" w:rsidP="001F5FA8">
      <w:pPr>
        <w:pStyle w:val="ListParagraph"/>
        <w:numPr>
          <w:ilvl w:val="2"/>
          <w:numId w:val="1"/>
        </w:numPr>
        <w:autoSpaceDE w:val="0"/>
        <w:autoSpaceDN w:val="0"/>
        <w:adjustRightInd w:val="0"/>
        <w:spacing w:before="120" w:after="120"/>
        <w:ind w:left="0" w:firstLine="0"/>
        <w:contextualSpacing/>
        <w:jc w:val="both"/>
        <w:rPr>
          <w:b/>
        </w:rPr>
      </w:pPr>
      <w:r w:rsidRPr="00D6441B">
        <w:rPr>
          <w:b/>
        </w:rPr>
        <w:t xml:space="preserve">  Noktasal </w:t>
      </w:r>
      <w:r>
        <w:rPr>
          <w:b/>
        </w:rPr>
        <w:t>k</w:t>
      </w:r>
      <w:r w:rsidRPr="00D6441B">
        <w:rPr>
          <w:b/>
        </w:rPr>
        <w:t xml:space="preserve">aynaklı </w:t>
      </w:r>
      <w:r>
        <w:rPr>
          <w:b/>
        </w:rPr>
        <w:t>d</w:t>
      </w:r>
      <w:r w:rsidRPr="00D6441B">
        <w:rPr>
          <w:b/>
        </w:rPr>
        <w:t xml:space="preserve">ebi ve </w:t>
      </w:r>
      <w:r>
        <w:rPr>
          <w:b/>
        </w:rPr>
        <w:t>k</w:t>
      </w:r>
      <w:r w:rsidRPr="00D6441B">
        <w:rPr>
          <w:b/>
        </w:rPr>
        <w:t xml:space="preserve">irlilik </w:t>
      </w:r>
      <w:r>
        <w:rPr>
          <w:b/>
        </w:rPr>
        <w:t>y</w:t>
      </w:r>
      <w:r w:rsidRPr="00D6441B">
        <w:rPr>
          <w:b/>
        </w:rPr>
        <w:t>ükleri</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Yapılan hesaplamalar sonucunda bulunan katı atık sızıntı suları kaynaklı debi ve noktasal kirletici yüklerin yıllara göre değerleri </w:t>
      </w:r>
      <w:r w:rsidRPr="00D6441B">
        <w:rPr>
          <w:rFonts w:ascii="Times New Roman" w:hAnsi="Times New Roman"/>
          <w:b/>
          <w:sz w:val="24"/>
          <w:szCs w:val="24"/>
        </w:rPr>
        <w:t>Tablo 5</w:t>
      </w:r>
      <w:r w:rsidRPr="00D6441B">
        <w:rPr>
          <w:rFonts w:ascii="Times New Roman" w:hAnsi="Times New Roman"/>
          <w:sz w:val="24"/>
          <w:szCs w:val="24"/>
        </w:rPr>
        <w:t>’de özetlenmiştir.</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p>
    <w:p w:rsidR="0071541B" w:rsidRDefault="0071541B" w:rsidP="001F5FA8">
      <w:pPr>
        <w:spacing w:before="120" w:after="120" w:line="240" w:lineRule="auto"/>
        <w:jc w:val="both"/>
        <w:rPr>
          <w:rFonts w:ascii="Times New Roman" w:hAnsi="Times New Roman"/>
          <w:b/>
          <w:bCs/>
          <w:sz w:val="24"/>
          <w:szCs w:val="24"/>
          <w:lang w:eastAsia="tr-TR"/>
        </w:rPr>
        <w:sectPr w:rsidR="0071541B" w:rsidSect="00273EA0">
          <w:type w:val="continuous"/>
          <w:pgSz w:w="11906" w:h="16838"/>
          <w:pgMar w:top="1417" w:right="849" w:bottom="1417" w:left="1134" w:header="708" w:footer="708" w:gutter="0"/>
          <w:cols w:num="2" w:space="283"/>
          <w:docGrid w:linePitch="360"/>
        </w:sectPr>
      </w:pPr>
      <w:bookmarkStart w:id="13" w:name="_Toc285048427"/>
    </w:p>
    <w:p w:rsidR="00510831" w:rsidRDefault="00510831" w:rsidP="001F5FA8">
      <w:pPr>
        <w:spacing w:before="120" w:after="120" w:line="240" w:lineRule="auto"/>
        <w:jc w:val="both"/>
        <w:rPr>
          <w:rFonts w:ascii="Times New Roman" w:hAnsi="Times New Roman"/>
          <w:b/>
          <w:bCs/>
          <w:sz w:val="24"/>
          <w:szCs w:val="24"/>
          <w:lang w:eastAsia="tr-TR"/>
        </w:rPr>
      </w:pPr>
    </w:p>
    <w:p w:rsidR="00510831" w:rsidRDefault="00510831" w:rsidP="001F5FA8">
      <w:pPr>
        <w:spacing w:before="120" w:after="120" w:line="240" w:lineRule="auto"/>
        <w:jc w:val="both"/>
        <w:rPr>
          <w:rFonts w:ascii="Times New Roman" w:hAnsi="Times New Roman"/>
          <w:b/>
          <w:bCs/>
          <w:sz w:val="24"/>
          <w:szCs w:val="24"/>
          <w:lang w:eastAsia="tr-TR"/>
        </w:rPr>
      </w:pPr>
    </w:p>
    <w:p w:rsidR="00510831" w:rsidRDefault="00510831" w:rsidP="001F5FA8">
      <w:pPr>
        <w:spacing w:before="120" w:after="120" w:line="240" w:lineRule="auto"/>
        <w:jc w:val="both"/>
        <w:rPr>
          <w:rFonts w:ascii="Times New Roman" w:hAnsi="Times New Roman"/>
          <w:b/>
          <w:bCs/>
          <w:sz w:val="24"/>
          <w:szCs w:val="24"/>
          <w:lang w:eastAsia="tr-TR"/>
        </w:rPr>
      </w:pPr>
    </w:p>
    <w:p w:rsidR="00510831" w:rsidRDefault="00510831" w:rsidP="001F5FA8">
      <w:pPr>
        <w:spacing w:before="120" w:after="120" w:line="240" w:lineRule="auto"/>
        <w:jc w:val="both"/>
        <w:rPr>
          <w:rFonts w:ascii="Times New Roman" w:hAnsi="Times New Roman"/>
          <w:b/>
          <w:bCs/>
          <w:sz w:val="24"/>
          <w:szCs w:val="24"/>
          <w:lang w:eastAsia="tr-TR"/>
        </w:rPr>
      </w:pPr>
    </w:p>
    <w:p w:rsidR="001F5FA8" w:rsidRPr="00D6441B" w:rsidRDefault="001F5FA8" w:rsidP="001F5FA8">
      <w:pPr>
        <w:spacing w:before="120" w:after="120" w:line="240" w:lineRule="auto"/>
        <w:jc w:val="both"/>
        <w:rPr>
          <w:rFonts w:ascii="Times New Roman" w:hAnsi="Times New Roman"/>
          <w:bCs/>
          <w:sz w:val="24"/>
          <w:szCs w:val="24"/>
          <w:lang w:eastAsia="tr-TR"/>
        </w:rPr>
      </w:pPr>
      <w:r w:rsidRPr="00D6441B">
        <w:rPr>
          <w:rFonts w:ascii="Times New Roman" w:hAnsi="Times New Roman"/>
          <w:b/>
          <w:bCs/>
          <w:sz w:val="24"/>
          <w:szCs w:val="24"/>
          <w:lang w:eastAsia="tr-TR"/>
        </w:rPr>
        <w:lastRenderedPageBreak/>
        <w:t xml:space="preserve">Tablo 5. </w:t>
      </w:r>
      <w:r w:rsidRPr="00D6441B">
        <w:rPr>
          <w:rFonts w:ascii="Times New Roman" w:hAnsi="Times New Roman"/>
          <w:bCs/>
          <w:sz w:val="24"/>
          <w:szCs w:val="24"/>
          <w:lang w:eastAsia="tr-TR"/>
        </w:rPr>
        <w:t>Burdur Havzası için katı atık sızıntı suyundan kaynaklanan noktasal kirletici yükleri</w:t>
      </w:r>
      <w:bookmarkEnd w:id="13"/>
    </w:p>
    <w:tbl>
      <w:tblPr>
        <w:tblW w:w="9816" w:type="dxa"/>
        <w:jc w:val="center"/>
        <w:tblInd w:w="-2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7"/>
        <w:gridCol w:w="3330"/>
        <w:gridCol w:w="1663"/>
        <w:gridCol w:w="1328"/>
        <w:gridCol w:w="1438"/>
      </w:tblGrid>
      <w:tr w:rsidR="001F5FA8" w:rsidRPr="00D6441B" w:rsidTr="008D1314">
        <w:trPr>
          <w:trHeight w:val="176"/>
          <w:jc w:val="center"/>
        </w:trPr>
        <w:tc>
          <w:tcPr>
            <w:tcW w:w="2057" w:type="dxa"/>
            <w:vMerge w:val="restart"/>
            <w:shd w:val="clear" w:color="auto" w:fill="auto"/>
            <w:noWrap/>
            <w:vAlign w:val="center"/>
          </w:tcPr>
          <w:p w:rsidR="001F5FA8" w:rsidRPr="00D6441B" w:rsidRDefault="001F5FA8" w:rsidP="008D1314">
            <w:pPr>
              <w:spacing w:after="0" w:line="240" w:lineRule="auto"/>
              <w:jc w:val="both"/>
              <w:rPr>
                <w:rFonts w:ascii="Times New Roman" w:hAnsi="Times New Roman"/>
                <w:b/>
                <w:bCs/>
                <w:sz w:val="24"/>
                <w:szCs w:val="24"/>
                <w:lang w:eastAsia="tr-TR"/>
              </w:rPr>
            </w:pPr>
            <w:r w:rsidRPr="00D6441B">
              <w:rPr>
                <w:rFonts w:ascii="Times New Roman" w:hAnsi="Times New Roman"/>
                <w:b/>
                <w:sz w:val="24"/>
                <w:szCs w:val="24"/>
                <w:lang w:eastAsia="tr-TR"/>
              </w:rPr>
              <w:t>Yıllar</w:t>
            </w:r>
          </w:p>
          <w:p w:rsidR="001F5FA8" w:rsidRPr="00D6441B" w:rsidRDefault="001F5FA8" w:rsidP="008D1314">
            <w:pPr>
              <w:spacing w:after="0" w:line="240" w:lineRule="auto"/>
              <w:jc w:val="both"/>
              <w:rPr>
                <w:rFonts w:ascii="Times New Roman" w:hAnsi="Times New Roman"/>
                <w:b/>
                <w:sz w:val="24"/>
                <w:szCs w:val="24"/>
                <w:lang w:eastAsia="tr-TR"/>
              </w:rPr>
            </w:pPr>
          </w:p>
        </w:tc>
        <w:tc>
          <w:tcPr>
            <w:tcW w:w="3330" w:type="dxa"/>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Ortalama sızıntı suyu debisi</w:t>
            </w:r>
          </w:p>
        </w:tc>
        <w:tc>
          <w:tcPr>
            <w:tcW w:w="1663" w:type="dxa"/>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KOİ</w:t>
            </w:r>
          </w:p>
        </w:tc>
        <w:tc>
          <w:tcPr>
            <w:tcW w:w="1328" w:type="dxa"/>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TN</w:t>
            </w:r>
          </w:p>
        </w:tc>
        <w:tc>
          <w:tcPr>
            <w:tcW w:w="1438" w:type="dxa"/>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TP</w:t>
            </w:r>
          </w:p>
        </w:tc>
      </w:tr>
      <w:tr w:rsidR="001F5FA8" w:rsidRPr="00D6441B" w:rsidTr="008D1314">
        <w:trPr>
          <w:trHeight w:val="350"/>
          <w:jc w:val="center"/>
        </w:trPr>
        <w:tc>
          <w:tcPr>
            <w:tcW w:w="2057" w:type="dxa"/>
            <w:vMerge/>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lang w:eastAsia="tr-TR"/>
              </w:rPr>
            </w:pPr>
          </w:p>
        </w:tc>
        <w:tc>
          <w:tcPr>
            <w:tcW w:w="3330" w:type="dxa"/>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m</w:t>
            </w:r>
            <w:r w:rsidRPr="00D6441B">
              <w:rPr>
                <w:rFonts w:ascii="Times New Roman" w:hAnsi="Times New Roman"/>
                <w:b/>
                <w:sz w:val="24"/>
                <w:szCs w:val="24"/>
                <w:vertAlign w:val="superscript"/>
                <w:lang w:eastAsia="tr-TR"/>
              </w:rPr>
              <w:t>3</w:t>
            </w:r>
            <w:r w:rsidRPr="00D6441B">
              <w:rPr>
                <w:rFonts w:ascii="Times New Roman" w:hAnsi="Times New Roman"/>
                <w:b/>
                <w:sz w:val="24"/>
                <w:szCs w:val="24"/>
                <w:lang w:eastAsia="tr-TR"/>
              </w:rPr>
              <w:t>/yıl</w:t>
            </w:r>
          </w:p>
        </w:tc>
        <w:tc>
          <w:tcPr>
            <w:tcW w:w="1663" w:type="dxa"/>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ton/yıl</w:t>
            </w:r>
          </w:p>
        </w:tc>
        <w:tc>
          <w:tcPr>
            <w:tcW w:w="1328" w:type="dxa"/>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ton/yıl</w:t>
            </w:r>
          </w:p>
        </w:tc>
        <w:tc>
          <w:tcPr>
            <w:tcW w:w="1438" w:type="dxa"/>
            <w:shd w:val="clear" w:color="auto" w:fill="auto"/>
            <w:noWrap/>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ton/yıl</w:t>
            </w:r>
          </w:p>
        </w:tc>
      </w:tr>
      <w:tr w:rsidR="001F5FA8" w:rsidRPr="00D6441B" w:rsidTr="008D1314">
        <w:trPr>
          <w:trHeight w:val="216"/>
          <w:jc w:val="center"/>
        </w:trPr>
        <w:tc>
          <w:tcPr>
            <w:tcW w:w="2057" w:type="dxa"/>
            <w:noWrap/>
            <w:vAlign w:val="center"/>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2010</w:t>
            </w:r>
          </w:p>
        </w:tc>
        <w:tc>
          <w:tcPr>
            <w:tcW w:w="3330"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37.284</w:t>
            </w:r>
          </w:p>
        </w:tc>
        <w:tc>
          <w:tcPr>
            <w:tcW w:w="1663"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149</w:t>
            </w:r>
          </w:p>
        </w:tc>
        <w:tc>
          <w:tcPr>
            <w:tcW w:w="1328"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37</w:t>
            </w:r>
          </w:p>
        </w:tc>
        <w:tc>
          <w:tcPr>
            <w:tcW w:w="1438"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0,37</w:t>
            </w:r>
          </w:p>
        </w:tc>
      </w:tr>
      <w:tr w:rsidR="001F5FA8" w:rsidRPr="00D6441B" w:rsidTr="008D1314">
        <w:trPr>
          <w:trHeight w:val="188"/>
          <w:jc w:val="center"/>
        </w:trPr>
        <w:tc>
          <w:tcPr>
            <w:tcW w:w="2057" w:type="dxa"/>
            <w:noWrap/>
            <w:vAlign w:val="center"/>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2020</w:t>
            </w:r>
          </w:p>
        </w:tc>
        <w:tc>
          <w:tcPr>
            <w:tcW w:w="3330"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78.497</w:t>
            </w:r>
          </w:p>
        </w:tc>
        <w:tc>
          <w:tcPr>
            <w:tcW w:w="1663"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276</w:t>
            </w:r>
          </w:p>
        </w:tc>
        <w:tc>
          <w:tcPr>
            <w:tcW w:w="1328"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58</w:t>
            </w:r>
          </w:p>
        </w:tc>
        <w:tc>
          <w:tcPr>
            <w:tcW w:w="1438"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0,66</w:t>
            </w:r>
          </w:p>
        </w:tc>
      </w:tr>
      <w:tr w:rsidR="001F5FA8" w:rsidRPr="00D6441B" w:rsidTr="008D1314">
        <w:trPr>
          <w:trHeight w:val="216"/>
          <w:jc w:val="center"/>
        </w:trPr>
        <w:tc>
          <w:tcPr>
            <w:tcW w:w="2057" w:type="dxa"/>
            <w:noWrap/>
            <w:vAlign w:val="center"/>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2030</w:t>
            </w:r>
          </w:p>
        </w:tc>
        <w:tc>
          <w:tcPr>
            <w:tcW w:w="3330"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89.513</w:t>
            </w:r>
          </w:p>
        </w:tc>
        <w:tc>
          <w:tcPr>
            <w:tcW w:w="1663"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320</w:t>
            </w:r>
          </w:p>
        </w:tc>
        <w:tc>
          <w:tcPr>
            <w:tcW w:w="1328"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69</w:t>
            </w:r>
          </w:p>
        </w:tc>
        <w:tc>
          <w:tcPr>
            <w:tcW w:w="1438"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0,77</w:t>
            </w:r>
          </w:p>
        </w:tc>
      </w:tr>
      <w:tr w:rsidR="001F5FA8" w:rsidRPr="00D6441B" w:rsidTr="008D1314">
        <w:trPr>
          <w:trHeight w:val="216"/>
          <w:jc w:val="center"/>
        </w:trPr>
        <w:tc>
          <w:tcPr>
            <w:tcW w:w="2057" w:type="dxa"/>
            <w:noWrap/>
            <w:vAlign w:val="center"/>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2040</w:t>
            </w:r>
          </w:p>
        </w:tc>
        <w:tc>
          <w:tcPr>
            <w:tcW w:w="3330"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89.513</w:t>
            </w:r>
          </w:p>
        </w:tc>
        <w:tc>
          <w:tcPr>
            <w:tcW w:w="1663"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263</w:t>
            </w:r>
          </w:p>
        </w:tc>
        <w:tc>
          <w:tcPr>
            <w:tcW w:w="1328"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64</w:t>
            </w:r>
          </w:p>
        </w:tc>
        <w:tc>
          <w:tcPr>
            <w:tcW w:w="1438" w:type="dxa"/>
            <w:noWrap/>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0,66</w:t>
            </w:r>
          </w:p>
        </w:tc>
      </w:tr>
    </w:tbl>
    <w:p w:rsidR="0071541B" w:rsidRDefault="0071541B" w:rsidP="001F5FA8">
      <w:pPr>
        <w:autoSpaceDE w:val="0"/>
        <w:autoSpaceDN w:val="0"/>
        <w:adjustRightInd w:val="0"/>
        <w:spacing w:before="120" w:after="120" w:line="240" w:lineRule="auto"/>
        <w:jc w:val="both"/>
        <w:rPr>
          <w:rFonts w:ascii="Times New Roman" w:hAnsi="Times New Roman"/>
          <w:sz w:val="24"/>
          <w:szCs w:val="24"/>
        </w:rPr>
        <w:sectPr w:rsidR="0071541B" w:rsidSect="00E230BE">
          <w:type w:val="continuous"/>
          <w:pgSz w:w="11906" w:h="16838"/>
          <w:pgMar w:top="1417" w:right="849" w:bottom="1417" w:left="1134" w:header="708" w:footer="340" w:gutter="0"/>
          <w:cols w:space="283"/>
          <w:docGrid w:linePitch="360"/>
        </w:sect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p>
    <w:p w:rsidR="00273EA0"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Burdur Havzası’nda 2010 yıl için katı atıklardan kaynaklanan noktasal sızıntı suyu yükleri, KOİ için 149, TN için 37, TP için ise 0,37 ton/yıl mertebesindedir. Yüklerin 2012 yılında düzenli depolama tesisinin işletmeye alınmasının ardından artış göstermesi beklenmektedir. Buna göre 2020 yılındaki yük değeri KOİ için 276, TN için 58, TP için ise 0,66 ton/yıl olacaktır. 2020 yılından 2030 yılına kadar atığın gelmeye devam etmesiyle debinin ve yükün artması beklenmektedir. 2030 yılından itibaren sızıntı suyunun karakteri ile ilgili olarak yüklerin azalacağı ancak atık miktarı ile ilgili debinin değişmeyeceği kabul edilmektedir.</w:t>
      </w:r>
    </w:p>
    <w:p w:rsidR="00E5786D" w:rsidRPr="00D6441B" w:rsidRDefault="00E5786D" w:rsidP="001F5FA8">
      <w:pPr>
        <w:autoSpaceDE w:val="0"/>
        <w:autoSpaceDN w:val="0"/>
        <w:adjustRightInd w:val="0"/>
        <w:spacing w:before="120" w:after="120" w:line="240" w:lineRule="auto"/>
        <w:jc w:val="both"/>
        <w:rPr>
          <w:rFonts w:ascii="Times New Roman" w:hAnsi="Times New Roman"/>
          <w:sz w:val="24"/>
          <w:szCs w:val="24"/>
        </w:rPr>
      </w:pPr>
    </w:p>
    <w:p w:rsidR="001F5FA8" w:rsidRPr="002744C6" w:rsidRDefault="001F5FA8" w:rsidP="001F5FA8">
      <w:pPr>
        <w:pStyle w:val="ListParagraph"/>
        <w:numPr>
          <w:ilvl w:val="2"/>
          <w:numId w:val="1"/>
        </w:numPr>
        <w:autoSpaceDE w:val="0"/>
        <w:autoSpaceDN w:val="0"/>
        <w:adjustRightInd w:val="0"/>
        <w:spacing w:before="120" w:after="120"/>
        <w:ind w:left="0" w:firstLine="0"/>
        <w:contextualSpacing/>
        <w:jc w:val="both"/>
        <w:rPr>
          <w:b/>
        </w:rPr>
      </w:pPr>
      <w:bookmarkStart w:id="14" w:name="_Toc285048521"/>
      <w:r w:rsidRPr="00D6441B">
        <w:rPr>
          <w:b/>
        </w:rPr>
        <w:t xml:space="preserve">  Yayılı </w:t>
      </w:r>
      <w:r>
        <w:rPr>
          <w:b/>
        </w:rPr>
        <w:t>k</w:t>
      </w:r>
      <w:r w:rsidRPr="00D6441B">
        <w:rPr>
          <w:b/>
        </w:rPr>
        <w:t xml:space="preserve">aynaklı </w:t>
      </w:r>
      <w:r>
        <w:rPr>
          <w:b/>
        </w:rPr>
        <w:t>d</w:t>
      </w:r>
      <w:r w:rsidRPr="00D6441B">
        <w:rPr>
          <w:b/>
        </w:rPr>
        <w:t xml:space="preserve">ebi ve </w:t>
      </w:r>
      <w:r>
        <w:rPr>
          <w:b/>
        </w:rPr>
        <w:t>k</w:t>
      </w:r>
      <w:r w:rsidRPr="00D6441B">
        <w:rPr>
          <w:b/>
        </w:rPr>
        <w:t xml:space="preserve">irlilik </w:t>
      </w:r>
      <w:r>
        <w:rPr>
          <w:b/>
        </w:rPr>
        <w:t>y</w:t>
      </w:r>
      <w:r w:rsidRPr="00D6441B">
        <w:rPr>
          <w:b/>
        </w:rPr>
        <w:t>ükleri</w:t>
      </w:r>
      <w:bookmarkEnd w:id="14"/>
    </w:p>
    <w:p w:rsidR="00273EA0" w:rsidRDefault="001F5FA8" w:rsidP="00506AE1">
      <w:pPr>
        <w:autoSpaceDE w:val="0"/>
        <w:autoSpaceDN w:val="0"/>
        <w:adjustRightInd w:val="0"/>
        <w:spacing w:before="120" w:after="120" w:line="240" w:lineRule="auto"/>
        <w:jc w:val="both"/>
        <w:rPr>
          <w:rFonts w:ascii="Times New Roman" w:eastAsia="TimesNewRoman" w:hAnsi="Times New Roman"/>
          <w:sz w:val="24"/>
          <w:szCs w:val="24"/>
        </w:rPr>
      </w:pPr>
      <w:r w:rsidRPr="00D6441B">
        <w:rPr>
          <w:rFonts w:ascii="Times New Roman" w:eastAsia="TimesNewRoman" w:hAnsi="Times New Roman"/>
          <w:sz w:val="24"/>
          <w:szCs w:val="24"/>
        </w:rPr>
        <w:t>Burdur havzasında yer alan düzensiz depolama ve rahabilite edilmiş alanlardan yağış ve araz</w:t>
      </w:r>
      <w:r w:rsidR="00506AE1">
        <w:rPr>
          <w:rFonts w:ascii="Times New Roman" w:eastAsia="TimesNewRoman" w:hAnsi="Times New Roman"/>
          <w:sz w:val="24"/>
          <w:szCs w:val="24"/>
        </w:rPr>
        <w:t xml:space="preserve">i </w:t>
      </w:r>
    </w:p>
    <w:p w:rsidR="00273EA0" w:rsidRDefault="00273EA0" w:rsidP="00506AE1">
      <w:pPr>
        <w:autoSpaceDE w:val="0"/>
        <w:autoSpaceDN w:val="0"/>
        <w:adjustRightInd w:val="0"/>
        <w:spacing w:before="120" w:after="120" w:line="240" w:lineRule="auto"/>
        <w:jc w:val="both"/>
        <w:rPr>
          <w:rFonts w:ascii="Times New Roman" w:eastAsia="TimesNewRoman" w:hAnsi="Times New Roman"/>
          <w:sz w:val="24"/>
          <w:szCs w:val="24"/>
        </w:rPr>
      </w:pPr>
    </w:p>
    <w:p w:rsidR="00510831" w:rsidRDefault="00510831" w:rsidP="00506AE1">
      <w:pPr>
        <w:autoSpaceDE w:val="0"/>
        <w:autoSpaceDN w:val="0"/>
        <w:adjustRightInd w:val="0"/>
        <w:spacing w:before="120" w:after="120" w:line="240" w:lineRule="auto"/>
        <w:jc w:val="both"/>
        <w:rPr>
          <w:rFonts w:ascii="Times New Roman" w:eastAsia="TimesNewRoman" w:hAnsi="Times New Roman"/>
          <w:sz w:val="24"/>
          <w:szCs w:val="24"/>
        </w:rPr>
      </w:pPr>
    </w:p>
    <w:p w:rsidR="00506AE1" w:rsidRPr="00D6441B" w:rsidRDefault="00506AE1" w:rsidP="00506AE1">
      <w:pPr>
        <w:autoSpaceDE w:val="0"/>
        <w:autoSpaceDN w:val="0"/>
        <w:adjustRightInd w:val="0"/>
        <w:spacing w:before="120" w:after="120" w:line="240" w:lineRule="auto"/>
        <w:jc w:val="both"/>
        <w:rPr>
          <w:rFonts w:ascii="Times New Roman" w:eastAsia="TimesNewRoman" w:hAnsi="Times New Roman"/>
          <w:sz w:val="24"/>
          <w:szCs w:val="24"/>
          <w:lang w:eastAsia="tr-TR"/>
        </w:rPr>
      </w:pPr>
      <w:r w:rsidRPr="00D6441B">
        <w:rPr>
          <w:rFonts w:ascii="Times New Roman" w:eastAsia="TimesNewRoman" w:hAnsi="Times New Roman"/>
          <w:sz w:val="24"/>
          <w:szCs w:val="24"/>
        </w:rPr>
        <w:t>drenajı sonucu</w:t>
      </w:r>
      <w:r>
        <w:rPr>
          <w:rFonts w:ascii="Times New Roman" w:eastAsia="TimesNewRoman" w:hAnsi="Times New Roman"/>
          <w:sz w:val="24"/>
          <w:szCs w:val="24"/>
        </w:rPr>
        <w:t xml:space="preserve"> ile kaynaklanan yayılı yükler</w:t>
      </w:r>
      <w:r w:rsidR="00273EA0">
        <w:rPr>
          <w:rFonts w:ascii="Times New Roman" w:eastAsia="TimesNewRoman" w:hAnsi="Times New Roman"/>
          <w:sz w:val="24"/>
          <w:szCs w:val="24"/>
        </w:rPr>
        <w:t xml:space="preserve">   </w:t>
      </w:r>
      <w:r w:rsidRPr="00D6441B">
        <w:rPr>
          <w:rFonts w:ascii="Times New Roman" w:eastAsia="TimesNewRoman" w:hAnsi="Times New Roman"/>
          <w:sz w:val="24"/>
          <w:szCs w:val="24"/>
        </w:rPr>
        <w:t xml:space="preserve">TN ve TP yükleri için </w:t>
      </w:r>
      <w:r w:rsidRPr="00D6441B">
        <w:rPr>
          <w:rFonts w:ascii="Times New Roman" w:eastAsia="TimesNewRoman" w:hAnsi="Times New Roman"/>
          <w:b/>
          <w:sz w:val="24"/>
          <w:szCs w:val="24"/>
        </w:rPr>
        <w:t xml:space="preserve">Şekil 3 </w:t>
      </w:r>
      <w:r w:rsidRPr="00D6441B">
        <w:rPr>
          <w:rFonts w:ascii="Times New Roman" w:eastAsia="TimesNewRoman" w:hAnsi="Times New Roman"/>
          <w:sz w:val="24"/>
          <w:szCs w:val="24"/>
        </w:rPr>
        <w:t xml:space="preserve">(a ve b)’de haritalandırılmıştır.  </w:t>
      </w:r>
      <w:r w:rsidRPr="00D6441B">
        <w:rPr>
          <w:rFonts w:ascii="Times New Roman" w:eastAsia="TimesNewRoman" w:hAnsi="Times New Roman"/>
          <w:sz w:val="24"/>
          <w:szCs w:val="24"/>
          <w:lang w:eastAsia="tr-TR"/>
        </w:rPr>
        <w:t>Burdur Havzası’nda 2010 yıl için yayılı olarak gelen sızıntı suyu debisi 144.027 m</w:t>
      </w:r>
      <w:r w:rsidRPr="00D6441B">
        <w:rPr>
          <w:rFonts w:ascii="Times New Roman" w:eastAsia="TimesNewRoman" w:hAnsi="Times New Roman"/>
          <w:sz w:val="24"/>
          <w:szCs w:val="24"/>
          <w:vertAlign w:val="superscript"/>
          <w:lang w:eastAsia="tr-TR"/>
        </w:rPr>
        <w:t>3</w:t>
      </w:r>
      <w:r w:rsidRPr="00D6441B">
        <w:rPr>
          <w:rFonts w:ascii="Times New Roman" w:eastAsia="TimesNewRoman" w:hAnsi="Times New Roman"/>
          <w:sz w:val="24"/>
          <w:szCs w:val="24"/>
          <w:lang w:eastAsia="tr-TR"/>
        </w:rPr>
        <w:t>/yıl iken bu değer 2020 yılından itibaren düzenli depolamaların hayata geçmesiyle 25.205 m</w:t>
      </w:r>
      <w:r w:rsidRPr="00D6441B">
        <w:rPr>
          <w:rFonts w:ascii="Times New Roman" w:eastAsia="TimesNewRoman" w:hAnsi="Times New Roman"/>
          <w:sz w:val="24"/>
          <w:szCs w:val="24"/>
          <w:vertAlign w:val="superscript"/>
          <w:lang w:eastAsia="tr-TR"/>
        </w:rPr>
        <w:t>3</w:t>
      </w:r>
      <w:r w:rsidRPr="00D6441B">
        <w:rPr>
          <w:rFonts w:ascii="Times New Roman" w:eastAsia="TimesNewRoman" w:hAnsi="Times New Roman"/>
          <w:sz w:val="24"/>
          <w:szCs w:val="24"/>
          <w:lang w:eastAsia="tr-TR"/>
        </w:rPr>
        <w:t>/yıl seviyesine inmesi ve 2040 yılına kadar aynı şekilde devam etmesi beklenmektedir. Bununla birlikte 2010 yılı için katı atıklardan kaynaklanan yayılı sızıntı suyu yükleri TN için 66, TP için ise 1,6 ton/yıl mertebesindedir. Yüklerin 2012 yılında düzenli depolama tesislerinin işletmeye alınmalarının ardından bir azalış göstermesi beklenmektedir. Buna göre 2020 yılındaki yük değeri TN için 49,6; TP için ise 1,2 ton/yıl olacaktır. 2040 yılında ise bu değerler TN için 3,3; TP için 0,1 ton/yıl değerine inmiş olacaktır.</w:t>
      </w:r>
    </w:p>
    <w:p w:rsidR="00506AE1" w:rsidRDefault="00506AE1" w:rsidP="001F5FA8">
      <w:pPr>
        <w:autoSpaceDE w:val="0"/>
        <w:autoSpaceDN w:val="0"/>
        <w:adjustRightInd w:val="0"/>
        <w:spacing w:before="120" w:after="120" w:line="240" w:lineRule="auto"/>
        <w:jc w:val="both"/>
        <w:rPr>
          <w:rFonts w:ascii="Times New Roman" w:eastAsia="TimesNewRoman" w:hAnsi="Times New Roman"/>
          <w:sz w:val="24"/>
          <w:szCs w:val="24"/>
        </w:rPr>
      </w:pPr>
    </w:p>
    <w:p w:rsidR="001F5FA8" w:rsidRPr="00D6441B" w:rsidRDefault="001F5FA8" w:rsidP="001F5FA8">
      <w:pPr>
        <w:autoSpaceDE w:val="0"/>
        <w:autoSpaceDN w:val="0"/>
        <w:adjustRightInd w:val="0"/>
        <w:spacing w:before="120" w:after="120" w:line="240" w:lineRule="auto"/>
        <w:jc w:val="both"/>
        <w:rPr>
          <w:rFonts w:ascii="Times New Roman" w:eastAsia="TimesNewRoman" w:hAnsi="Times New Roman"/>
          <w:sz w:val="24"/>
          <w:szCs w:val="24"/>
          <w:lang w:eastAsia="tr-TR"/>
        </w:rPr>
      </w:pPr>
    </w:p>
    <w:p w:rsidR="0071541B" w:rsidRDefault="0071541B" w:rsidP="001F5FA8">
      <w:pPr>
        <w:autoSpaceDE w:val="0"/>
        <w:autoSpaceDN w:val="0"/>
        <w:adjustRightInd w:val="0"/>
        <w:spacing w:before="120" w:after="120" w:line="240" w:lineRule="auto"/>
        <w:jc w:val="center"/>
        <w:rPr>
          <w:rFonts w:ascii="Times New Roman" w:eastAsia="TimesNewRoman" w:hAnsi="Times New Roman"/>
          <w:sz w:val="24"/>
          <w:szCs w:val="24"/>
        </w:rPr>
        <w:sectPr w:rsidR="0071541B" w:rsidSect="00273EA0">
          <w:type w:val="continuous"/>
          <w:pgSz w:w="11906" w:h="16838"/>
          <w:pgMar w:top="1418" w:right="849" w:bottom="1418" w:left="1134" w:header="709" w:footer="709" w:gutter="0"/>
          <w:cols w:num="2" w:space="283"/>
          <w:docGrid w:linePitch="360"/>
        </w:sectPr>
      </w:pPr>
    </w:p>
    <w:p w:rsidR="001F5FA8" w:rsidRPr="00D6441B" w:rsidRDefault="001F5FA8" w:rsidP="001F5FA8">
      <w:pPr>
        <w:autoSpaceDE w:val="0"/>
        <w:autoSpaceDN w:val="0"/>
        <w:adjustRightInd w:val="0"/>
        <w:spacing w:before="120" w:after="120" w:line="240" w:lineRule="auto"/>
        <w:jc w:val="center"/>
        <w:rPr>
          <w:rFonts w:ascii="Times New Roman" w:eastAsia="TimesNewRoman" w:hAnsi="Times New Roman"/>
          <w:sz w:val="24"/>
          <w:szCs w:val="24"/>
        </w:rPr>
      </w:pPr>
      <w:r>
        <w:rPr>
          <w:rFonts w:ascii="Times New Roman" w:hAnsi="Times New Roman"/>
          <w:noProof/>
          <w:sz w:val="24"/>
          <w:szCs w:val="24"/>
          <w:lang w:val="en-AU" w:eastAsia="en-AU"/>
        </w:rPr>
        <w:lastRenderedPageBreak/>
        <w:drawing>
          <wp:inline distT="0" distB="0" distL="0" distR="0">
            <wp:extent cx="3114675" cy="1981200"/>
            <wp:effectExtent l="19050" t="0" r="9525" b="0"/>
            <wp:docPr id="35" name="Resim 198" descr="C:\Documents and Settings\nerdogan\Local Settings\Temporary Internet Files\Content.Word\BU_Sızıntı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8" descr="C:\Documents and Settings\nerdogan\Local Settings\Temporary Internet Files\Content.Word\BU_Sızıntı_TN.JPG"/>
                    <pic:cNvPicPr>
                      <a:picLocks noChangeAspect="1" noChangeArrowheads="1"/>
                    </pic:cNvPicPr>
                  </pic:nvPicPr>
                  <pic:blipFill>
                    <a:blip r:embed="rId28" cstate="print"/>
                    <a:srcRect/>
                    <a:stretch>
                      <a:fillRect/>
                    </a:stretch>
                  </pic:blipFill>
                  <pic:spPr bwMode="auto">
                    <a:xfrm>
                      <a:off x="0" y="0"/>
                      <a:ext cx="3114675" cy="1981200"/>
                    </a:xfrm>
                    <a:prstGeom prst="rect">
                      <a:avLst/>
                    </a:prstGeom>
                    <a:noFill/>
                    <a:ln w="9525">
                      <a:noFill/>
                      <a:miter lim="800000"/>
                      <a:headEnd/>
                      <a:tailEnd/>
                    </a:ln>
                  </pic:spPr>
                </pic:pic>
              </a:graphicData>
            </a:graphic>
          </wp:inline>
        </w:drawing>
      </w:r>
      <w:r>
        <w:rPr>
          <w:rFonts w:ascii="Times New Roman" w:hAnsi="Times New Roman"/>
          <w:noProof/>
          <w:sz w:val="24"/>
          <w:szCs w:val="24"/>
          <w:lang w:val="en-AU" w:eastAsia="en-AU"/>
        </w:rPr>
        <w:drawing>
          <wp:inline distT="0" distB="0" distL="0" distR="0">
            <wp:extent cx="3124200" cy="1981200"/>
            <wp:effectExtent l="19050" t="0" r="0" b="0"/>
            <wp:docPr id="36" name="Resim 201" descr="C:\Documents and Settings\nerdogan\Local Settings\Temporary Internet Files\Content.Word\BU_Sızıntı_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1" descr="C:\Documents and Settings\nerdogan\Local Settings\Temporary Internet Files\Content.Word\BU_Sızıntı_TP.JPG"/>
                    <pic:cNvPicPr>
                      <a:picLocks noChangeAspect="1" noChangeArrowheads="1"/>
                    </pic:cNvPicPr>
                  </pic:nvPicPr>
                  <pic:blipFill>
                    <a:blip r:embed="rId29" cstate="print"/>
                    <a:srcRect/>
                    <a:stretch>
                      <a:fillRect/>
                    </a:stretch>
                  </pic:blipFill>
                  <pic:spPr bwMode="auto">
                    <a:xfrm>
                      <a:off x="0" y="0"/>
                      <a:ext cx="3124200" cy="1981200"/>
                    </a:xfrm>
                    <a:prstGeom prst="rect">
                      <a:avLst/>
                    </a:prstGeom>
                    <a:noFill/>
                    <a:ln w="9525">
                      <a:noFill/>
                      <a:miter lim="800000"/>
                      <a:headEnd/>
                      <a:tailEnd/>
                    </a:ln>
                  </pic:spPr>
                </pic:pic>
              </a:graphicData>
            </a:graphic>
          </wp:inline>
        </w:drawing>
      </w:r>
    </w:p>
    <w:p w:rsidR="001F5FA8" w:rsidRPr="00D6441B" w:rsidRDefault="001F5FA8" w:rsidP="001F5FA8">
      <w:pPr>
        <w:pStyle w:val="ListParagraph"/>
        <w:tabs>
          <w:tab w:val="left" w:pos="2268"/>
          <w:tab w:val="left" w:pos="7230"/>
        </w:tabs>
        <w:autoSpaceDE w:val="0"/>
        <w:autoSpaceDN w:val="0"/>
        <w:adjustRightInd w:val="0"/>
        <w:spacing w:before="120" w:after="120"/>
        <w:ind w:left="0"/>
        <w:jc w:val="both"/>
      </w:pPr>
      <w:r w:rsidRPr="00D6441B">
        <w:t xml:space="preserve">  </w:t>
      </w:r>
      <w:r w:rsidRPr="00D6441B">
        <w:tab/>
        <w:t xml:space="preserve">( a) </w:t>
      </w:r>
      <w:r w:rsidRPr="00D6441B">
        <w:tab/>
        <w:t>(b)</w:t>
      </w:r>
    </w:p>
    <w:p w:rsidR="001F5FA8" w:rsidRPr="00D6441B" w:rsidRDefault="001F5FA8" w:rsidP="001F5FA8">
      <w:pPr>
        <w:spacing w:before="120" w:after="120" w:line="240" w:lineRule="auto"/>
        <w:jc w:val="center"/>
        <w:rPr>
          <w:rFonts w:ascii="Times New Roman" w:eastAsia="TimesNewRoman" w:hAnsi="Times New Roman"/>
          <w:b/>
          <w:bCs/>
          <w:sz w:val="24"/>
          <w:szCs w:val="24"/>
          <w:lang w:eastAsia="tr-TR"/>
        </w:rPr>
      </w:pPr>
      <w:bookmarkStart w:id="15" w:name="_Toc285048308"/>
      <w:r w:rsidRPr="00D6441B">
        <w:rPr>
          <w:rFonts w:ascii="Times New Roman" w:hAnsi="Times New Roman"/>
          <w:b/>
          <w:bCs/>
          <w:sz w:val="24"/>
          <w:szCs w:val="24"/>
          <w:lang w:eastAsia="tr-TR"/>
        </w:rPr>
        <w:t>Şekil 3.</w:t>
      </w:r>
      <w:r w:rsidRPr="00D6441B">
        <w:rPr>
          <w:rFonts w:ascii="Times New Roman" w:eastAsia="TimesNewRoman" w:hAnsi="Times New Roman"/>
          <w:bCs/>
          <w:sz w:val="24"/>
          <w:szCs w:val="24"/>
          <w:lang w:eastAsia="tr-TR"/>
        </w:rPr>
        <w:t>Burdur Havzası katı atık sızıntı sularından kaynaklanan yayılı TN(a) ve TP (b) yükleri dağılımı</w:t>
      </w:r>
      <w:bookmarkEnd w:id="15"/>
    </w:p>
    <w:p w:rsidR="0071541B" w:rsidRDefault="0071541B" w:rsidP="001F5FA8">
      <w:pPr>
        <w:spacing w:before="120" w:after="120" w:line="240" w:lineRule="auto"/>
        <w:jc w:val="both"/>
        <w:rPr>
          <w:rFonts w:ascii="Times New Roman" w:hAnsi="Times New Roman"/>
          <w:b/>
          <w:sz w:val="24"/>
          <w:szCs w:val="24"/>
        </w:rPr>
        <w:sectPr w:rsidR="0071541B" w:rsidSect="00273EA0">
          <w:type w:val="continuous"/>
          <w:pgSz w:w="11906" w:h="16838"/>
          <w:pgMar w:top="1417" w:right="849" w:bottom="1417" w:left="1134" w:header="708" w:footer="708" w:gutter="0"/>
          <w:cols w:space="283"/>
          <w:docGrid w:linePitch="360"/>
        </w:sectPr>
      </w:pPr>
    </w:p>
    <w:p w:rsidR="001F5FA8" w:rsidRPr="00D6441B" w:rsidRDefault="001F5FA8" w:rsidP="001F5FA8">
      <w:pPr>
        <w:spacing w:before="120" w:after="120" w:line="240" w:lineRule="auto"/>
        <w:jc w:val="both"/>
        <w:rPr>
          <w:rFonts w:ascii="Times New Roman" w:hAnsi="Times New Roman"/>
          <w:b/>
          <w:sz w:val="24"/>
          <w:szCs w:val="24"/>
        </w:rPr>
      </w:pPr>
    </w:p>
    <w:p w:rsidR="00510831"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Katı atık sızıntın suyundan kaynaklanan noktasal kirlilik yükleri 2040 yılına kadar TN ve TP için yaklaşık olarak % 40-45’lik bir artış gösterirken, yayılı kirlilik yükü olarak %95 </w:t>
      </w:r>
    </w:p>
    <w:p w:rsidR="00510831" w:rsidRDefault="00510831"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kadarlık bir azalma gözlenmiştir.  Bu değişim temel olarak düzensiz depolama alanlarının kapatılarak rehabilite edilmesinden ve düzenli </w:t>
      </w:r>
      <w:r w:rsidRPr="00D6441B">
        <w:rPr>
          <w:rFonts w:ascii="Times New Roman" w:hAnsi="Times New Roman"/>
          <w:sz w:val="24"/>
          <w:szCs w:val="24"/>
        </w:rPr>
        <w:lastRenderedPageBreak/>
        <w:t xml:space="preserve">depolama alanlarının açılmasından kaynaklanmaktadır. </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Düzenli depolanan atık miktarları 2012 yılında devreye giren düzenli depolama tesisi neticesinde azalmakta olup, öte yandan nüfus artışı ve ekonomik gelişmeye paralel olarak artmaktadır. Dolayısıyla düzenli depolanan yıllık atık miktarları doğrusal bir fonksiyon olmayıp farklılık arz etmektedir. Ancak düzenli depolamaya geçilmesi için öngörülen 2012 yılından sonra kurulan tesisin sızıntı suyunu kendi bünyesinde arıtmış olması veya kentsel atıksu arıtma tesisine deşarj etmesi gerekmektedir. Bu durumda oluşacak kirlilik yükü alıcı ortama karışmayacaktır. Ancak bu yükün hesaplanması planlanacak olan sızıntı suyu artıma tesisinin boyutlandırılmasında veya kentsel AAT’ye gelecek yükün belirlenmesinde faydalı olacaktır.</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Sonuç olarak, Burdur Havzası örneğinde yapılan bu çalışma, havza bazında mevcut ve gelecekteki durumu ortaya koyarak, önümüzdeki dönemde yapılması gereken çalışmalara bir yol haritası çizmektedir.</w:t>
      </w:r>
    </w:p>
    <w:p w:rsidR="00510831" w:rsidRDefault="00510831" w:rsidP="001F5FA8">
      <w:pPr>
        <w:spacing w:before="120" w:after="120" w:line="240" w:lineRule="auto"/>
        <w:jc w:val="both"/>
        <w:rPr>
          <w:rFonts w:ascii="Times New Roman" w:hAnsi="Times New Roman"/>
          <w:sz w:val="24"/>
          <w:szCs w:val="24"/>
        </w:rPr>
      </w:pPr>
    </w:p>
    <w:p w:rsidR="00510831" w:rsidRDefault="00510831"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lastRenderedPageBreak/>
        <w:t>TEŞEKKÜR</w:t>
      </w:r>
    </w:p>
    <w:p w:rsidR="001F5FA8" w:rsidRPr="00D6441B" w:rsidRDefault="001F5FA8" w:rsidP="001F5FA8">
      <w:pPr>
        <w:spacing w:before="120" w:after="120" w:line="240" w:lineRule="auto"/>
        <w:jc w:val="both"/>
        <w:rPr>
          <w:rFonts w:ascii="Times New Roman" w:hAnsi="Times New Roman"/>
          <w:b/>
          <w:sz w:val="24"/>
          <w:szCs w:val="24"/>
          <w:lang w:eastAsia="tr-TR"/>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Bu bildiri 5098115 no’lu “ Havza Korum Eylem Planlarının Hazırlanması “ projesi kapsamında oluşturulmuştur. Proje sürecinde emeği geçen başta müşteri kurum Çevre ve Orman Bakanlığı olmak üzere Tarım ve Köyişleri Bakanlığı, DSİ, TÜİK, DMİ, Belediyeler, Üniversiteler ve diğer tüm kurum ve kuruluşlara teşekkür ederiz.</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highlight w:val="cyan"/>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b/>
          <w:sz w:val="24"/>
          <w:szCs w:val="24"/>
        </w:rPr>
        <w:t>KAYNAKLAR</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 </w:t>
      </w:r>
    </w:p>
    <w:p w:rsidR="001F5FA8" w:rsidRPr="00D6441B" w:rsidRDefault="001F5FA8" w:rsidP="00506AE1">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ÇOB (2006.c) Katı Atık Ana Planı, Çevre Yönetimi Genel Müdürlüğü, T.C. Çevre ve Orman Bakanlığı</w:t>
      </w:r>
    </w:p>
    <w:p w:rsidR="001F5FA8" w:rsidRPr="00D6441B" w:rsidRDefault="001F5FA8" w:rsidP="00506AE1">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lang w:eastAsia="tr-TR"/>
        </w:rPr>
        <w:t xml:space="preserve">ÇOB (2008) Atık Yönetimi Eylem Planı, </w:t>
      </w:r>
      <w:r w:rsidRPr="00D6441B">
        <w:rPr>
          <w:rFonts w:ascii="Times New Roman" w:hAnsi="Times New Roman"/>
          <w:sz w:val="24"/>
          <w:szCs w:val="24"/>
        </w:rPr>
        <w:t>Çevre Yönetimi Genel Müdürlüğü, T.C. Çevre ve Orman Bakanlığı</w:t>
      </w:r>
    </w:p>
    <w:p w:rsidR="001F5FA8" w:rsidRPr="002744C6" w:rsidRDefault="001F5FA8" w:rsidP="00506AE1">
      <w:pPr>
        <w:autoSpaceDE w:val="0"/>
        <w:autoSpaceDN w:val="0"/>
        <w:adjustRightInd w:val="0"/>
        <w:spacing w:before="120" w:after="120" w:line="240" w:lineRule="auto"/>
        <w:ind w:left="567" w:hanging="567"/>
        <w:jc w:val="both"/>
        <w:rPr>
          <w:rFonts w:ascii="Times New Roman" w:hAnsi="Times New Roman"/>
          <w:sz w:val="24"/>
          <w:szCs w:val="24"/>
          <w:lang w:eastAsia="tr-TR"/>
        </w:rPr>
      </w:pPr>
      <w:r w:rsidRPr="00D6441B">
        <w:rPr>
          <w:rFonts w:ascii="Times New Roman" w:hAnsi="Times New Roman"/>
          <w:sz w:val="24"/>
          <w:szCs w:val="24"/>
          <w:lang w:eastAsia="tr-TR"/>
        </w:rPr>
        <w:t>Öztürk, İ. (2010). Katı Atık Yönetimi ve AB Uyumlu Uygulamaları Kitabı. İTÜ Çevre Mühendisliği Bölümü, İstanbul.</w:t>
      </w:r>
    </w:p>
    <w:p w:rsidR="001F5FA8" w:rsidRDefault="001F5FA8" w:rsidP="00506AE1">
      <w:pPr>
        <w:autoSpaceDE w:val="0"/>
        <w:autoSpaceDN w:val="0"/>
        <w:adjustRightInd w:val="0"/>
        <w:spacing w:before="120" w:after="120" w:line="240" w:lineRule="auto"/>
        <w:ind w:left="567" w:hanging="567"/>
        <w:jc w:val="both"/>
        <w:rPr>
          <w:rFonts w:ascii="Times New Roman" w:hAnsi="Times New Roman"/>
          <w:sz w:val="24"/>
          <w:szCs w:val="24"/>
          <w:lang w:eastAsia="tr-TR"/>
        </w:rPr>
      </w:pPr>
      <w:r w:rsidRPr="00D6441B">
        <w:rPr>
          <w:rFonts w:ascii="Times New Roman" w:hAnsi="Times New Roman"/>
          <w:sz w:val="24"/>
          <w:szCs w:val="24"/>
          <w:lang w:eastAsia="tr-TR"/>
        </w:rPr>
        <w:t>TÜBİTAK MAM (2010). Burdur Havzası Koruma Eylem Planı Raporu, Gebze Kocaeli.</w:t>
      </w:r>
    </w:p>
    <w:p w:rsidR="0071541B" w:rsidRDefault="0071541B">
      <w:pPr>
        <w:rPr>
          <w:rFonts w:ascii="Times New Roman" w:hAnsi="Times New Roman"/>
          <w:sz w:val="24"/>
          <w:szCs w:val="24"/>
          <w:lang w:eastAsia="tr-TR"/>
        </w:rPr>
        <w:sectPr w:rsidR="0071541B" w:rsidSect="00907EDD">
          <w:type w:val="continuous"/>
          <w:pgSz w:w="11906" w:h="16838"/>
          <w:pgMar w:top="1417" w:right="849" w:bottom="1417" w:left="1134" w:header="708" w:footer="340" w:gutter="0"/>
          <w:cols w:num="2" w:space="567"/>
          <w:docGrid w:linePitch="360"/>
        </w:sectPr>
      </w:pPr>
    </w:p>
    <w:p w:rsidR="001F5FA8" w:rsidRDefault="001F5FA8">
      <w:pPr>
        <w:rPr>
          <w:rFonts w:ascii="Times New Roman" w:hAnsi="Times New Roman"/>
          <w:sz w:val="24"/>
          <w:szCs w:val="24"/>
          <w:lang w:eastAsia="tr-TR"/>
        </w:rPr>
      </w:pPr>
      <w:r>
        <w:rPr>
          <w:rFonts w:ascii="Times New Roman" w:hAnsi="Times New Roman"/>
          <w:sz w:val="24"/>
          <w:szCs w:val="24"/>
          <w:lang w:eastAsia="tr-TR"/>
        </w:rPr>
        <w:lastRenderedPageBreak/>
        <w:br w:type="page"/>
      </w:r>
    </w:p>
    <w:p w:rsidR="001F5FA8" w:rsidRPr="004F708D" w:rsidRDefault="001F5FA8" w:rsidP="001F5FA8">
      <w:pPr>
        <w:spacing w:before="120" w:after="120" w:line="240" w:lineRule="auto"/>
        <w:jc w:val="center"/>
        <w:rPr>
          <w:rFonts w:ascii="Times New Roman" w:hAnsi="Times New Roman"/>
          <w:b/>
          <w:sz w:val="32"/>
          <w:szCs w:val="24"/>
        </w:rPr>
      </w:pPr>
    </w:p>
    <w:p w:rsidR="001F5FA8" w:rsidRPr="004F708D" w:rsidRDefault="001F5FA8" w:rsidP="001F5FA8">
      <w:pPr>
        <w:spacing w:before="120" w:after="120" w:line="240" w:lineRule="auto"/>
        <w:jc w:val="center"/>
        <w:rPr>
          <w:rFonts w:ascii="Times New Roman" w:hAnsi="Times New Roman"/>
          <w:b/>
          <w:sz w:val="32"/>
          <w:szCs w:val="24"/>
        </w:rPr>
      </w:pPr>
    </w:p>
    <w:p w:rsidR="001F5FA8" w:rsidRPr="004F708D" w:rsidRDefault="001F5FA8" w:rsidP="001F5FA8">
      <w:pPr>
        <w:spacing w:before="120" w:after="120" w:line="240" w:lineRule="auto"/>
        <w:jc w:val="center"/>
        <w:rPr>
          <w:rFonts w:ascii="Times New Roman" w:hAnsi="Times New Roman"/>
          <w:b/>
          <w:sz w:val="32"/>
          <w:szCs w:val="24"/>
        </w:rPr>
      </w:pPr>
      <w:r w:rsidRPr="004F708D">
        <w:rPr>
          <w:rFonts w:ascii="Times New Roman" w:hAnsi="Times New Roman"/>
          <w:b/>
          <w:sz w:val="32"/>
          <w:szCs w:val="24"/>
        </w:rPr>
        <w:t>DÜZENLİ DEPOLAMA ALANI BTEX EMİSYONLARININ YAZ ve KIŞ MEVSİMLERİNDEKİ DEĞİŞİMLERİNİN BELİRLENMESİ</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Fatih Taşpınar</w:t>
      </w:r>
      <w:r w:rsidRPr="00D6441B">
        <w:rPr>
          <w:rFonts w:ascii="Times New Roman" w:hAnsi="Times New Roman"/>
          <w:b/>
          <w:sz w:val="24"/>
          <w:szCs w:val="24"/>
          <w:vertAlign w:val="superscript"/>
        </w:rPr>
        <w:t>1</w:t>
      </w:r>
      <w:r w:rsidRPr="00D6441B">
        <w:rPr>
          <w:rFonts w:ascii="Times New Roman" w:hAnsi="Times New Roman"/>
          <w:b/>
          <w:sz w:val="24"/>
          <w:szCs w:val="24"/>
        </w:rPr>
        <w:t>, Ertan Durmuşoğlu</w:t>
      </w:r>
      <w:r w:rsidRPr="00D6441B">
        <w:rPr>
          <w:rFonts w:ascii="Times New Roman" w:hAnsi="Times New Roman"/>
          <w:b/>
          <w:sz w:val="24"/>
          <w:szCs w:val="24"/>
          <w:vertAlign w:val="superscript"/>
        </w:rPr>
        <w:t>2</w:t>
      </w:r>
      <w:r w:rsidRPr="00D6441B">
        <w:rPr>
          <w:rFonts w:ascii="Times New Roman" w:hAnsi="Times New Roman"/>
          <w:b/>
          <w:sz w:val="24"/>
          <w:szCs w:val="24"/>
        </w:rPr>
        <w:t>, Aykan Karademir</w:t>
      </w:r>
      <w:r w:rsidRPr="00D6441B">
        <w:rPr>
          <w:rFonts w:ascii="Times New Roman" w:hAnsi="Times New Roman"/>
          <w:b/>
          <w:sz w:val="24"/>
          <w:szCs w:val="24"/>
          <w:vertAlign w:val="superscript"/>
        </w:rPr>
        <w:t>2</w:t>
      </w:r>
    </w:p>
    <w:p w:rsidR="001F5FA8" w:rsidRPr="00D6441B" w:rsidRDefault="001F5FA8" w:rsidP="001F5FA8">
      <w:pPr>
        <w:spacing w:after="0" w:line="240" w:lineRule="auto"/>
        <w:jc w:val="both"/>
        <w:rPr>
          <w:rFonts w:ascii="Times New Roman" w:hAnsi="Times New Roman"/>
          <w:sz w:val="24"/>
          <w:szCs w:val="24"/>
        </w:rPr>
      </w:pPr>
      <w:r w:rsidRPr="00D6441B">
        <w:rPr>
          <w:rFonts w:ascii="Times New Roman" w:hAnsi="Times New Roman"/>
          <w:sz w:val="24"/>
          <w:szCs w:val="24"/>
          <w:vertAlign w:val="superscript"/>
        </w:rPr>
        <w:t>1</w:t>
      </w:r>
      <w:r w:rsidRPr="00D6441B">
        <w:rPr>
          <w:rFonts w:ascii="Times New Roman" w:hAnsi="Times New Roman"/>
          <w:sz w:val="24"/>
          <w:szCs w:val="24"/>
        </w:rPr>
        <w:t>Düzce Üniversitesi, Çevre Mühend</w:t>
      </w:r>
      <w:r>
        <w:rPr>
          <w:rFonts w:ascii="Times New Roman" w:hAnsi="Times New Roman"/>
          <w:sz w:val="24"/>
          <w:szCs w:val="24"/>
        </w:rPr>
        <w:t>isliği Bölümü, Konuralp, Düzce</w:t>
      </w:r>
    </w:p>
    <w:p w:rsidR="001F5FA8" w:rsidRPr="00D6441B" w:rsidRDefault="001F5FA8" w:rsidP="001F5FA8">
      <w:pPr>
        <w:spacing w:after="0" w:line="240" w:lineRule="auto"/>
        <w:jc w:val="both"/>
        <w:rPr>
          <w:rFonts w:ascii="Times New Roman" w:hAnsi="Times New Roman"/>
          <w:sz w:val="24"/>
          <w:szCs w:val="24"/>
        </w:rPr>
      </w:pPr>
      <w:r w:rsidRPr="00D6441B">
        <w:rPr>
          <w:rFonts w:ascii="Times New Roman" w:hAnsi="Times New Roman"/>
          <w:sz w:val="24"/>
          <w:szCs w:val="24"/>
          <w:vertAlign w:val="superscript"/>
        </w:rPr>
        <w:t>2</w:t>
      </w:r>
      <w:r w:rsidRPr="00D6441B">
        <w:rPr>
          <w:rFonts w:ascii="Times New Roman" w:hAnsi="Times New Roman"/>
          <w:sz w:val="24"/>
          <w:szCs w:val="24"/>
        </w:rPr>
        <w:t>Kocaeli Üniversitesi, Çevre Mühendisliği Bölümü, İzmit, Kocaeli</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b/>
          <w:caps/>
          <w:sz w:val="24"/>
          <w:szCs w:val="24"/>
        </w:rPr>
      </w:pPr>
      <w:r w:rsidRPr="00D6441B">
        <w:rPr>
          <w:rFonts w:ascii="Times New Roman" w:hAnsi="Times New Roman"/>
          <w:b/>
          <w:sz w:val="24"/>
          <w:szCs w:val="24"/>
        </w:rPr>
        <w:t>Özet</w:t>
      </w:r>
    </w:p>
    <w:p w:rsidR="001F5FA8" w:rsidRPr="00D6441B" w:rsidRDefault="001F5FA8" w:rsidP="001F5FA8">
      <w:pPr>
        <w:spacing w:before="120" w:after="120" w:line="240" w:lineRule="auto"/>
        <w:jc w:val="both"/>
        <w:rPr>
          <w:rFonts w:ascii="Times New Roman" w:hAnsi="Times New Roman"/>
          <w:bCs/>
          <w:sz w:val="24"/>
          <w:szCs w:val="24"/>
        </w:rPr>
      </w:pPr>
      <w:r w:rsidRPr="00D6441B">
        <w:rPr>
          <w:rFonts w:ascii="Times New Roman" w:hAnsi="Times New Roman"/>
          <w:bCs/>
          <w:sz w:val="24"/>
          <w:szCs w:val="24"/>
        </w:rPr>
        <w:t>Atıklar, depolama alanına depolandıktan sonra, çeşitli prosesler sonucu atığın organik kısmında ayrışmalar meydana gelir. Bu ayrışmalar sonucu büyük bölümünü metan ve karbon dioksitin oluşturduğu deponi gazı (LFG) meydana gelir. Bu iki temel gazın yanında, çok düşük konsantrasyonlarda fakat yüksek toksisiteye sahip uçucu organik bileşikler de (VOC) oluşmaktadır. Bu organik gazların belirlenmesi gerek işletmede çalışan işçiler açısından gerekse yakın yerleşim bölgesinde yaşayan insanlar açısından önemlidir.</w:t>
      </w:r>
      <w:r w:rsidRPr="00D6441B">
        <w:rPr>
          <w:rFonts w:ascii="Times New Roman" w:hAnsi="Times New Roman"/>
          <w:sz w:val="24"/>
          <w:szCs w:val="24"/>
        </w:rPr>
        <w:t xml:space="preserve"> Bu çalışmada, İzmit’teki düzenli depolama alanı ortam havasında BTEX (benzen, toluen, etilbenzen, mp-ksilen ve o-ksilen) emisyonları ölçülmüştür. BTEX bileşikleri deponi alanlarından kaynaklanan uçucu organik bileşiklerin hem en çok bilinenleri ve hem de sağlık riski oluşturan bir kısmını olduklarından dolayı, bu bileşiklerin varlığının ve miktarlarının tespiti diğer VOC’ler adına bir yol gösterici olmaktadır. Örnekleme ve analiz çalışmalarında, USEPA Method TO-17 kullanılmıştır. Adsorban tüplere, kış ve yaz mevsimlerini ifade edecek şekilde Nisan ve Haziran aylarında aktif örneklemeler yapılarak, örnekler GC-FID ve Termal Desorpsiyon cihazlarında analiz edilmiştir. </w:t>
      </w:r>
      <w:r w:rsidRPr="00D6441B">
        <w:rPr>
          <w:rFonts w:ascii="Times New Roman" w:hAnsi="Times New Roman"/>
          <w:bCs/>
          <w:sz w:val="24"/>
          <w:szCs w:val="24"/>
        </w:rPr>
        <w:t xml:space="preserve">Laboratuarda elde edilen sonuçlar, diğer araştırmacıların farklı ülkeler için elde ettikleri bulgular ile karşılaştırılmıştır. Deponi gazındaki BTEX değerleri ile atık yaşı, süzüntü suyu seviyesi ve ortam sıcaklığı arasında ilişki kurulmaya çalışmıştır. </w:t>
      </w:r>
      <w:r w:rsidRPr="00D6441B">
        <w:rPr>
          <w:rFonts w:ascii="Times New Roman" w:hAnsi="Times New Roman"/>
          <w:sz w:val="24"/>
          <w:szCs w:val="24"/>
        </w:rPr>
        <w:t>Benzen, toluen, etilbenzen, mp-ksilen ve o-ksilen</w:t>
      </w:r>
      <w:r w:rsidRPr="00D6441B">
        <w:rPr>
          <w:rFonts w:ascii="Times New Roman" w:hAnsi="Times New Roman"/>
          <w:bCs/>
          <w:sz w:val="24"/>
          <w:szCs w:val="24"/>
        </w:rPr>
        <w:t xml:space="preserve"> minimum ve konsantrasyonları 5.6-3138 µg/m</w:t>
      </w:r>
      <w:r w:rsidRPr="00D6441B">
        <w:rPr>
          <w:rFonts w:ascii="Times New Roman" w:hAnsi="Times New Roman"/>
          <w:bCs/>
          <w:sz w:val="24"/>
          <w:szCs w:val="24"/>
          <w:vertAlign w:val="superscript"/>
        </w:rPr>
        <w:t>3</w:t>
      </w:r>
      <w:r w:rsidRPr="00D6441B">
        <w:rPr>
          <w:rFonts w:ascii="Times New Roman" w:hAnsi="Times New Roman"/>
          <w:bCs/>
          <w:sz w:val="24"/>
          <w:szCs w:val="24"/>
        </w:rPr>
        <w:t>, 23-7834 µg/m</w:t>
      </w:r>
      <w:r w:rsidRPr="00D6441B">
        <w:rPr>
          <w:rFonts w:ascii="Times New Roman" w:hAnsi="Times New Roman"/>
          <w:bCs/>
          <w:sz w:val="24"/>
          <w:szCs w:val="24"/>
          <w:vertAlign w:val="superscript"/>
        </w:rPr>
        <w:t>3</w:t>
      </w:r>
      <w:r w:rsidRPr="00D6441B">
        <w:rPr>
          <w:rFonts w:ascii="Times New Roman" w:hAnsi="Times New Roman"/>
          <w:bCs/>
          <w:sz w:val="24"/>
          <w:szCs w:val="24"/>
        </w:rPr>
        <w:t>, 4.9-3717 µg/m</w:t>
      </w:r>
      <w:r w:rsidRPr="00D6441B">
        <w:rPr>
          <w:rFonts w:ascii="Times New Roman" w:hAnsi="Times New Roman"/>
          <w:bCs/>
          <w:sz w:val="24"/>
          <w:szCs w:val="24"/>
          <w:vertAlign w:val="superscript"/>
        </w:rPr>
        <w:t>3</w:t>
      </w:r>
      <w:r w:rsidRPr="00D6441B">
        <w:rPr>
          <w:rFonts w:ascii="Times New Roman" w:hAnsi="Times New Roman"/>
          <w:bCs/>
          <w:sz w:val="24"/>
          <w:szCs w:val="24"/>
        </w:rPr>
        <w:t>, 5.3-4013 µg/m</w:t>
      </w:r>
      <w:r w:rsidRPr="00D6441B">
        <w:rPr>
          <w:rFonts w:ascii="Times New Roman" w:hAnsi="Times New Roman"/>
          <w:bCs/>
          <w:sz w:val="24"/>
          <w:szCs w:val="24"/>
          <w:vertAlign w:val="superscript"/>
        </w:rPr>
        <w:t>3</w:t>
      </w:r>
      <w:r w:rsidRPr="00D6441B">
        <w:rPr>
          <w:rFonts w:ascii="Times New Roman" w:hAnsi="Times New Roman"/>
          <w:bCs/>
          <w:sz w:val="24"/>
          <w:szCs w:val="24"/>
        </w:rPr>
        <w:t xml:space="preserve"> ve 2.6-16521 µg/m</w:t>
      </w:r>
      <w:r w:rsidRPr="00D6441B">
        <w:rPr>
          <w:rFonts w:ascii="Times New Roman" w:hAnsi="Times New Roman"/>
          <w:bCs/>
          <w:sz w:val="24"/>
          <w:szCs w:val="24"/>
          <w:vertAlign w:val="superscript"/>
        </w:rPr>
        <w:t>3</w:t>
      </w:r>
      <w:r w:rsidRPr="00D6441B">
        <w:rPr>
          <w:rFonts w:ascii="Times New Roman" w:hAnsi="Times New Roman"/>
          <w:bCs/>
          <w:sz w:val="24"/>
          <w:szCs w:val="24"/>
        </w:rPr>
        <w:t>. Kanserojen özellik taşıyan benzenin konsantrasyonu ortalama 169 µg/m</w:t>
      </w:r>
      <w:r w:rsidRPr="00D6441B">
        <w:rPr>
          <w:rFonts w:ascii="Times New Roman" w:hAnsi="Times New Roman"/>
          <w:bCs/>
          <w:sz w:val="24"/>
          <w:szCs w:val="24"/>
          <w:vertAlign w:val="superscript"/>
        </w:rPr>
        <w:t>3</w:t>
      </w:r>
      <w:r w:rsidRPr="00D6441B">
        <w:rPr>
          <w:rFonts w:ascii="Times New Roman" w:hAnsi="Times New Roman"/>
          <w:bCs/>
          <w:sz w:val="24"/>
          <w:szCs w:val="24"/>
        </w:rPr>
        <w:t xml:space="preserve"> olarak bulunmuştur. Diğer BTEX bileşenlerinin ortalama konsantrasyonları ise toluen 745 µg/m</w:t>
      </w:r>
      <w:r w:rsidRPr="00D6441B">
        <w:rPr>
          <w:rFonts w:ascii="Times New Roman" w:hAnsi="Times New Roman"/>
          <w:bCs/>
          <w:sz w:val="24"/>
          <w:szCs w:val="24"/>
          <w:vertAlign w:val="superscript"/>
        </w:rPr>
        <w:t>3</w:t>
      </w:r>
      <w:r w:rsidRPr="00D6441B">
        <w:rPr>
          <w:rFonts w:ascii="Times New Roman" w:hAnsi="Times New Roman"/>
          <w:bCs/>
          <w:sz w:val="24"/>
          <w:szCs w:val="24"/>
        </w:rPr>
        <w:t>, etilbenzen 190 µg/m</w:t>
      </w:r>
      <w:r w:rsidRPr="00D6441B">
        <w:rPr>
          <w:rFonts w:ascii="Times New Roman" w:hAnsi="Times New Roman"/>
          <w:bCs/>
          <w:sz w:val="24"/>
          <w:szCs w:val="24"/>
          <w:vertAlign w:val="superscript"/>
        </w:rPr>
        <w:t>3</w:t>
      </w:r>
      <w:r w:rsidRPr="00D6441B">
        <w:rPr>
          <w:rFonts w:ascii="Times New Roman" w:hAnsi="Times New Roman"/>
          <w:bCs/>
          <w:sz w:val="24"/>
          <w:szCs w:val="24"/>
        </w:rPr>
        <w:t>, ksilenler 325 µg/m</w:t>
      </w:r>
      <w:r w:rsidRPr="00D6441B">
        <w:rPr>
          <w:rFonts w:ascii="Times New Roman" w:hAnsi="Times New Roman"/>
          <w:bCs/>
          <w:sz w:val="24"/>
          <w:szCs w:val="24"/>
          <w:vertAlign w:val="superscript"/>
        </w:rPr>
        <w:t>3</w:t>
      </w:r>
      <w:r w:rsidRPr="00D6441B">
        <w:rPr>
          <w:rFonts w:ascii="Times New Roman" w:hAnsi="Times New Roman"/>
          <w:bCs/>
          <w:sz w:val="24"/>
          <w:szCs w:val="24"/>
        </w:rPr>
        <w:t xml:space="preserve"> olarak bulunmuştur. Elde edilen toluen konsantrasyonları diğerlerinden oldukça yüksek çıkmıştır. Şahit numuneler de ise deteksiyon limitleri altında kaldığından BTEX bileşenleri ölçülememiştir. Ölçümlere ait minimum, maksimum ve geometrik ortalama değerleri arasındaki basit regresyon ile elde edilen determinasyon katsayıları sırasıyla; 0.98, 0.05, 0.01 olarak hesaplanmıştır. Elde edilen BTEX konsantrasyonlarının minimum değerleri arasında yüksek oranda pozitif yönlü bir ilişki olduğu görülmektedir. Nisan ayında yapılan ölçümlerde elde edilen değerler genellikle Haziran ayında elde edilen değerlerden yüksek çıkmıştır. Bu duruma deponi alanında biriken ve toplama sistemine ulaşana kadar göletler halinde biriken süzüntü suyunun, belli bir seviyenin üzerinde olması halinde gaz çıkışını engellemesi veya kısmen azaltmasının neden olduğu düşünülmektedir. Literatür verileri ile karşılaştırıldığında, deponi alanının kapatılan lotlarından atmosfere karışan BTEX konsantrasyonları genelde daha düşük bulunmuştur.</w:t>
      </w:r>
    </w:p>
    <w:p w:rsidR="001F5FA8" w:rsidRPr="00D6441B" w:rsidRDefault="001F5FA8" w:rsidP="001F5FA8">
      <w:pPr>
        <w:spacing w:before="120" w:after="120" w:line="240" w:lineRule="auto"/>
        <w:jc w:val="both"/>
        <w:rPr>
          <w:rFonts w:ascii="Times New Roman" w:hAnsi="Times New Roman"/>
          <w:i/>
          <w:sz w:val="24"/>
          <w:szCs w:val="24"/>
        </w:rPr>
      </w:pPr>
      <w:r w:rsidRPr="00D6441B">
        <w:rPr>
          <w:rFonts w:ascii="Times New Roman" w:hAnsi="Times New Roman"/>
          <w:b/>
          <w:i/>
          <w:sz w:val="24"/>
          <w:szCs w:val="24"/>
        </w:rPr>
        <w:t>Anahtar Kelimeler:</w:t>
      </w:r>
      <w:r w:rsidRPr="00D6441B">
        <w:rPr>
          <w:rFonts w:ascii="Times New Roman" w:hAnsi="Times New Roman"/>
          <w:i/>
          <w:sz w:val="24"/>
          <w:szCs w:val="24"/>
        </w:rPr>
        <w:t xml:space="preserve"> BTEX, düzenli depolama, </w:t>
      </w:r>
      <w:r>
        <w:rPr>
          <w:rFonts w:ascii="Times New Roman" w:hAnsi="Times New Roman"/>
          <w:i/>
          <w:sz w:val="24"/>
          <w:szCs w:val="24"/>
        </w:rPr>
        <w:t>termaz dezorpsiyon</w:t>
      </w:r>
      <w:r w:rsidRPr="00D6441B">
        <w:rPr>
          <w:rFonts w:ascii="Times New Roman" w:hAnsi="Times New Roman"/>
          <w:i/>
          <w:sz w:val="24"/>
          <w:szCs w:val="24"/>
        </w:rPr>
        <w:t>, uçucu organikler.</w:t>
      </w:r>
    </w:p>
    <w:p w:rsidR="001F5FA8" w:rsidRDefault="001F5FA8" w:rsidP="001F5FA8">
      <w:pPr>
        <w:spacing w:before="120" w:after="120" w:line="240" w:lineRule="auto"/>
        <w:jc w:val="both"/>
        <w:rPr>
          <w:rFonts w:ascii="Times New Roman" w:hAnsi="Times New Roman"/>
          <w:b/>
          <w:sz w:val="24"/>
          <w:szCs w:val="24"/>
          <w:lang w:val="en-US"/>
        </w:rPr>
      </w:pPr>
    </w:p>
    <w:p w:rsidR="00273EA0" w:rsidRDefault="00273EA0" w:rsidP="001F5FA8">
      <w:pPr>
        <w:spacing w:before="120" w:after="120" w:line="240" w:lineRule="auto"/>
        <w:jc w:val="both"/>
        <w:rPr>
          <w:rFonts w:ascii="Times New Roman" w:hAnsi="Times New Roman"/>
          <w:b/>
          <w:sz w:val="24"/>
          <w:szCs w:val="24"/>
          <w:lang w:val="en-US"/>
        </w:rPr>
      </w:pPr>
    </w:p>
    <w:p w:rsidR="001F5FA8" w:rsidRPr="004F708D" w:rsidRDefault="001F5FA8" w:rsidP="001F5FA8">
      <w:pPr>
        <w:spacing w:before="120" w:after="120" w:line="240" w:lineRule="auto"/>
        <w:jc w:val="both"/>
        <w:rPr>
          <w:rFonts w:ascii="Times New Roman" w:hAnsi="Times New Roman"/>
          <w:b/>
          <w:sz w:val="28"/>
          <w:szCs w:val="24"/>
          <w:lang w:val="en-US"/>
        </w:rPr>
      </w:pPr>
      <w:r w:rsidRPr="004F708D">
        <w:rPr>
          <w:rFonts w:ascii="Times New Roman" w:hAnsi="Times New Roman"/>
          <w:b/>
          <w:sz w:val="28"/>
          <w:szCs w:val="24"/>
          <w:lang w:val="en-US"/>
        </w:rPr>
        <w:lastRenderedPageBreak/>
        <w:t>DETERMINATION OF LANDFILL BTEX EMISSION CHANGES IN SUMMER AND WINTER SEASONS</w:t>
      </w:r>
    </w:p>
    <w:p w:rsidR="001F5FA8" w:rsidRPr="00D6441B" w:rsidRDefault="001F5FA8" w:rsidP="001F5FA8">
      <w:pPr>
        <w:spacing w:before="120" w:after="120" w:line="240" w:lineRule="auto"/>
        <w:jc w:val="both"/>
        <w:rPr>
          <w:rFonts w:ascii="Times New Roman" w:hAnsi="Times New Roman"/>
          <w:b/>
          <w:sz w:val="24"/>
          <w:szCs w:val="24"/>
          <w:lang w:val="en-US"/>
        </w:rPr>
      </w:pPr>
    </w:p>
    <w:p w:rsidR="001F5FA8" w:rsidRPr="00D6441B" w:rsidRDefault="001F5FA8" w:rsidP="001F5FA8">
      <w:pPr>
        <w:spacing w:before="120" w:after="120" w:line="240" w:lineRule="auto"/>
        <w:jc w:val="both"/>
        <w:rPr>
          <w:rFonts w:ascii="Times New Roman" w:hAnsi="Times New Roman"/>
          <w:b/>
          <w:caps/>
          <w:sz w:val="24"/>
          <w:szCs w:val="24"/>
          <w:lang w:val="en-US"/>
        </w:rPr>
      </w:pPr>
      <w:r w:rsidRPr="00D6441B">
        <w:rPr>
          <w:rFonts w:ascii="Times New Roman" w:hAnsi="Times New Roman"/>
          <w:b/>
          <w:sz w:val="24"/>
          <w:szCs w:val="24"/>
          <w:lang w:val="en-US"/>
        </w:rPr>
        <w:t>Abstract</w:t>
      </w:r>
    </w:p>
    <w:p w:rsidR="001F5FA8" w:rsidRPr="00D6441B" w:rsidRDefault="001F5FA8" w:rsidP="001F5FA8">
      <w:pPr>
        <w:spacing w:before="120" w:after="120" w:line="240" w:lineRule="auto"/>
        <w:jc w:val="both"/>
        <w:rPr>
          <w:rFonts w:ascii="Times New Roman" w:hAnsi="Times New Roman"/>
          <w:bCs/>
          <w:sz w:val="24"/>
          <w:szCs w:val="24"/>
          <w:lang w:val="en-US"/>
        </w:rPr>
      </w:pPr>
      <w:r w:rsidRPr="00D6441B">
        <w:rPr>
          <w:rFonts w:ascii="Times New Roman" w:hAnsi="Times New Roman"/>
          <w:sz w:val="24"/>
          <w:szCs w:val="24"/>
          <w:lang w:val="en-US"/>
        </w:rPr>
        <w:t xml:space="preserve">Waste decomposition takes place on organics of the waste following deposition due to various processes. </w:t>
      </w:r>
      <w:r w:rsidRPr="00D6441B">
        <w:rPr>
          <w:rFonts w:ascii="Times New Roman" w:hAnsi="Times New Roman"/>
          <w:bCs/>
          <w:sz w:val="24"/>
          <w:szCs w:val="24"/>
          <w:lang w:val="en-US"/>
        </w:rPr>
        <w:t>Landfill gas (LFG) mainly comprised of methane and carbon dioxide is generated due to that decomposition. Besides these two main gases, volatile organic compounds (VOC) those are highly toxicity at very low concentrations are produced. Determination of these compounds is especially important for landfill operators and persons live nearby. In this study, benzene, toluene, ethylbenzene, mp-xylene and o-xylene (BTEX) emissions were measured in ambient air of a landfill in Izmit. BTEX compounds are most well-known volatile organic compounds in landfills and constitute health risks. Therefore, determination of presence and amount of these compounds lead to know other VOC’s situations. LFG samples were collected and analyzed accordance with USEPA method TO-17. Samples were collected onto adsorbent tubes by active sampling method on April and June, 2007. All samples were analyzed by a system consisting of a Thermal Desorber coupled with a gas chromatography (GC) ﬁtted with a ﬂame ionization detector. The analysis results obtained in the laboratory were compared with the other researcher’s results for different countries. Obtained BTEX concentration of LFG is tried to relate waste age, leachate level and ambient temperature.</w:t>
      </w:r>
      <w:r w:rsidRPr="00D6441B">
        <w:rPr>
          <w:rFonts w:ascii="Times New Roman" w:hAnsi="Times New Roman"/>
          <w:sz w:val="24"/>
          <w:szCs w:val="24"/>
          <w:lang w:val="en-US"/>
        </w:rPr>
        <w:t xml:space="preserve"> Benzene, toluene, ethylbenzene, mp-xylene and o- xylene </w:t>
      </w:r>
      <w:r w:rsidRPr="00D6441B">
        <w:rPr>
          <w:rFonts w:ascii="Times New Roman" w:hAnsi="Times New Roman"/>
          <w:bCs/>
          <w:sz w:val="24"/>
          <w:szCs w:val="24"/>
          <w:lang w:val="en-US"/>
        </w:rPr>
        <w:t>concentrations were in ranges of 60-3138 µg/m</w:t>
      </w:r>
      <w:r w:rsidRPr="00D6441B">
        <w:rPr>
          <w:rFonts w:ascii="Times New Roman" w:hAnsi="Times New Roman"/>
          <w:bCs/>
          <w:sz w:val="24"/>
          <w:szCs w:val="24"/>
          <w:vertAlign w:val="superscript"/>
          <w:lang w:val="en-US"/>
        </w:rPr>
        <w:t>3</w:t>
      </w:r>
      <w:r w:rsidRPr="00D6441B">
        <w:rPr>
          <w:rFonts w:ascii="Times New Roman" w:hAnsi="Times New Roman"/>
          <w:bCs/>
          <w:sz w:val="24"/>
          <w:szCs w:val="24"/>
          <w:lang w:val="en-US"/>
        </w:rPr>
        <w:t>, 23-7834 µg/m</w:t>
      </w:r>
      <w:r w:rsidRPr="00D6441B">
        <w:rPr>
          <w:rFonts w:ascii="Times New Roman" w:hAnsi="Times New Roman"/>
          <w:bCs/>
          <w:sz w:val="24"/>
          <w:szCs w:val="24"/>
          <w:vertAlign w:val="superscript"/>
          <w:lang w:val="en-US"/>
        </w:rPr>
        <w:t>3</w:t>
      </w:r>
      <w:r w:rsidRPr="00D6441B">
        <w:rPr>
          <w:rFonts w:ascii="Times New Roman" w:hAnsi="Times New Roman"/>
          <w:bCs/>
          <w:sz w:val="24"/>
          <w:szCs w:val="24"/>
          <w:lang w:val="en-US"/>
        </w:rPr>
        <w:t>, 4.9-3717 µg/m</w:t>
      </w:r>
      <w:r w:rsidRPr="00D6441B">
        <w:rPr>
          <w:rFonts w:ascii="Times New Roman" w:hAnsi="Times New Roman"/>
          <w:bCs/>
          <w:sz w:val="24"/>
          <w:szCs w:val="24"/>
          <w:vertAlign w:val="superscript"/>
          <w:lang w:val="en-US"/>
        </w:rPr>
        <w:t>3</w:t>
      </w:r>
      <w:r w:rsidRPr="00D6441B">
        <w:rPr>
          <w:rFonts w:ascii="Times New Roman" w:hAnsi="Times New Roman"/>
          <w:bCs/>
          <w:sz w:val="24"/>
          <w:szCs w:val="24"/>
          <w:lang w:val="en-US"/>
        </w:rPr>
        <w:t>, 5.3-4013 µg/m</w:t>
      </w:r>
      <w:r w:rsidRPr="00D6441B">
        <w:rPr>
          <w:rFonts w:ascii="Times New Roman" w:hAnsi="Times New Roman"/>
          <w:bCs/>
          <w:sz w:val="24"/>
          <w:szCs w:val="24"/>
          <w:vertAlign w:val="superscript"/>
          <w:lang w:val="en-US"/>
        </w:rPr>
        <w:t>3</w:t>
      </w:r>
      <w:r w:rsidRPr="00D6441B">
        <w:rPr>
          <w:rFonts w:ascii="Times New Roman" w:hAnsi="Times New Roman"/>
          <w:bCs/>
          <w:sz w:val="24"/>
          <w:szCs w:val="24"/>
          <w:lang w:val="en-US"/>
        </w:rPr>
        <w:t xml:space="preserve"> and 2.6-16521 µg/m</w:t>
      </w:r>
      <w:r w:rsidRPr="00D6441B">
        <w:rPr>
          <w:rFonts w:ascii="Times New Roman" w:hAnsi="Times New Roman"/>
          <w:bCs/>
          <w:sz w:val="24"/>
          <w:szCs w:val="24"/>
          <w:vertAlign w:val="superscript"/>
          <w:lang w:val="en-US"/>
        </w:rPr>
        <w:t>3</w:t>
      </w:r>
      <w:r w:rsidRPr="00D6441B">
        <w:rPr>
          <w:rFonts w:ascii="Times New Roman" w:hAnsi="Times New Roman"/>
          <w:bCs/>
          <w:sz w:val="24"/>
          <w:szCs w:val="24"/>
          <w:lang w:val="en-US"/>
        </w:rPr>
        <w:t>, respectively. Toluene concentration is measured highly greater than other BTEX compunds in LFG. Benzene which is a well-known carcinogenic had an average concentration of 169 µg/m</w:t>
      </w:r>
      <w:r w:rsidRPr="00D6441B">
        <w:rPr>
          <w:rFonts w:ascii="Times New Roman" w:hAnsi="Times New Roman"/>
          <w:bCs/>
          <w:sz w:val="24"/>
          <w:szCs w:val="24"/>
          <w:vertAlign w:val="superscript"/>
          <w:lang w:val="en-US"/>
        </w:rPr>
        <w:t>3</w:t>
      </w:r>
      <w:r w:rsidRPr="00D6441B">
        <w:rPr>
          <w:rFonts w:ascii="Times New Roman" w:hAnsi="Times New Roman"/>
          <w:bCs/>
          <w:sz w:val="24"/>
          <w:szCs w:val="24"/>
          <w:lang w:val="en-US"/>
        </w:rPr>
        <w:t xml:space="preserve">. Average concentrations of toluene, ethylbenzene, and xylenes were </w:t>
      </w:r>
      <w:proofErr w:type="gramStart"/>
      <w:r w:rsidRPr="00D6441B">
        <w:rPr>
          <w:rFonts w:ascii="Times New Roman" w:hAnsi="Times New Roman"/>
          <w:bCs/>
          <w:sz w:val="24"/>
          <w:szCs w:val="24"/>
          <w:lang w:val="en-US"/>
        </w:rPr>
        <w:t>745 µg/m</w:t>
      </w:r>
      <w:r w:rsidRPr="00D6441B">
        <w:rPr>
          <w:rFonts w:ascii="Times New Roman" w:hAnsi="Times New Roman"/>
          <w:bCs/>
          <w:sz w:val="24"/>
          <w:szCs w:val="24"/>
          <w:vertAlign w:val="superscript"/>
          <w:lang w:val="en-US"/>
        </w:rPr>
        <w:t>3</w:t>
      </w:r>
      <w:proofErr w:type="gramEnd"/>
      <w:r w:rsidRPr="00D6441B">
        <w:rPr>
          <w:rFonts w:ascii="Times New Roman" w:hAnsi="Times New Roman"/>
          <w:bCs/>
          <w:sz w:val="24"/>
          <w:szCs w:val="24"/>
          <w:lang w:val="en-US"/>
        </w:rPr>
        <w:t>, 190 µg/m</w:t>
      </w:r>
      <w:r w:rsidRPr="00D6441B">
        <w:rPr>
          <w:rFonts w:ascii="Times New Roman" w:hAnsi="Times New Roman"/>
          <w:bCs/>
          <w:sz w:val="24"/>
          <w:szCs w:val="24"/>
          <w:vertAlign w:val="superscript"/>
          <w:lang w:val="en-US"/>
        </w:rPr>
        <w:t>3</w:t>
      </w:r>
      <w:r w:rsidRPr="00D6441B">
        <w:rPr>
          <w:rFonts w:ascii="Times New Roman" w:hAnsi="Times New Roman"/>
          <w:bCs/>
          <w:sz w:val="24"/>
          <w:szCs w:val="24"/>
          <w:lang w:val="en-US"/>
        </w:rPr>
        <w:t>, 325 µg/m</w:t>
      </w:r>
      <w:r w:rsidRPr="00D6441B">
        <w:rPr>
          <w:rFonts w:ascii="Times New Roman" w:hAnsi="Times New Roman"/>
          <w:bCs/>
          <w:sz w:val="24"/>
          <w:szCs w:val="24"/>
          <w:vertAlign w:val="superscript"/>
          <w:lang w:val="en-US"/>
        </w:rPr>
        <w:t>3</w:t>
      </w:r>
      <w:r w:rsidRPr="00D6441B">
        <w:rPr>
          <w:rFonts w:ascii="Times New Roman" w:hAnsi="Times New Roman"/>
          <w:bCs/>
          <w:sz w:val="24"/>
          <w:szCs w:val="24"/>
          <w:lang w:val="en-US"/>
        </w:rPr>
        <w:t>, respectively. Blank samples were not analyzed due to very low concentrations under detection limits. The coefficient of determination (CoD) r</w:t>
      </w:r>
      <w:r w:rsidRPr="00D6441B">
        <w:rPr>
          <w:rFonts w:ascii="Times New Roman" w:hAnsi="Times New Roman"/>
          <w:bCs/>
          <w:sz w:val="24"/>
          <w:szCs w:val="24"/>
          <w:vertAlign w:val="superscript"/>
          <w:lang w:val="en-US"/>
        </w:rPr>
        <w:t>2</w:t>
      </w:r>
      <w:r w:rsidRPr="00D6441B">
        <w:rPr>
          <w:rFonts w:ascii="Times New Roman" w:hAnsi="Times New Roman"/>
          <w:bCs/>
          <w:sz w:val="24"/>
          <w:szCs w:val="24"/>
          <w:lang w:val="en-US"/>
        </w:rPr>
        <w:t xml:space="preserve"> values between each April and June sample’s minimum, maximum and mean concentrations were found to be 0.98, 0.05 and 0.01, respectively. </w:t>
      </w:r>
      <w:proofErr w:type="gramStart"/>
      <w:r w:rsidRPr="00D6441B">
        <w:rPr>
          <w:rFonts w:ascii="Times New Roman" w:hAnsi="Times New Roman"/>
          <w:bCs/>
          <w:sz w:val="24"/>
          <w:szCs w:val="24"/>
          <w:lang w:val="en-US"/>
        </w:rPr>
        <w:t>r</w:t>
      </w:r>
      <w:r w:rsidRPr="00D6441B">
        <w:rPr>
          <w:rFonts w:ascii="Times New Roman" w:hAnsi="Times New Roman"/>
          <w:bCs/>
          <w:sz w:val="24"/>
          <w:szCs w:val="24"/>
          <w:vertAlign w:val="superscript"/>
          <w:lang w:val="en-US"/>
        </w:rPr>
        <w:t>2</w:t>
      </w:r>
      <w:proofErr w:type="gramEnd"/>
      <w:r w:rsidRPr="00D6441B">
        <w:rPr>
          <w:rFonts w:ascii="Times New Roman" w:hAnsi="Times New Roman"/>
          <w:bCs/>
          <w:sz w:val="24"/>
          <w:szCs w:val="24"/>
          <w:lang w:val="en-US"/>
        </w:rPr>
        <w:t xml:space="preserve"> between minimum BTEX concentrations of April and June samples showed relatively high and a positive correlation. Generally, BTEX concentration levels obtained in April were found to be greater than the values obtained in June. It's thought that pretty high local leachate levels up to leachate collection zone prevents or reduces gas flux to the atmosphere in the deposition layer. Compared with the literature data, BTEX concentrations of those closed landfill lots were generally lower.</w:t>
      </w:r>
    </w:p>
    <w:p w:rsidR="001F5FA8" w:rsidRPr="00D6441B" w:rsidRDefault="001F5FA8" w:rsidP="001F5FA8">
      <w:pPr>
        <w:spacing w:before="120" w:after="120" w:line="240" w:lineRule="auto"/>
        <w:jc w:val="both"/>
        <w:rPr>
          <w:rFonts w:ascii="Times New Roman" w:hAnsi="Times New Roman"/>
          <w:i/>
          <w:sz w:val="24"/>
          <w:szCs w:val="24"/>
          <w:lang w:val="en-US"/>
        </w:rPr>
      </w:pPr>
      <w:r w:rsidRPr="00D6441B">
        <w:rPr>
          <w:rFonts w:ascii="Times New Roman" w:hAnsi="Times New Roman"/>
          <w:b/>
          <w:i/>
          <w:sz w:val="24"/>
          <w:szCs w:val="24"/>
          <w:lang w:val="en-US"/>
        </w:rPr>
        <w:t>Keywords:</w:t>
      </w:r>
      <w:r w:rsidRPr="00D6441B">
        <w:rPr>
          <w:rFonts w:ascii="Times New Roman" w:hAnsi="Times New Roman"/>
          <w:i/>
          <w:sz w:val="24"/>
          <w:szCs w:val="24"/>
          <w:lang w:val="en-US"/>
        </w:rPr>
        <w:t xml:space="preserve"> BTEX, landfilling, therma</w:t>
      </w:r>
      <w:r>
        <w:rPr>
          <w:rFonts w:ascii="Times New Roman" w:hAnsi="Times New Roman"/>
          <w:i/>
          <w:sz w:val="24"/>
          <w:szCs w:val="24"/>
          <w:lang w:val="en-US"/>
        </w:rPr>
        <w:t>l desorpsion, volatile organics</w:t>
      </w:r>
    </w:p>
    <w:p w:rsidR="001F5FA8" w:rsidRPr="00D6441B" w:rsidRDefault="001F5FA8" w:rsidP="001F5FA8">
      <w:pPr>
        <w:spacing w:before="120" w:after="120" w:line="240" w:lineRule="auto"/>
        <w:jc w:val="both"/>
        <w:rPr>
          <w:rFonts w:ascii="Times New Roman" w:hAnsi="Times New Roman"/>
          <w:sz w:val="24"/>
          <w:szCs w:val="24"/>
        </w:rPr>
      </w:pPr>
    </w:p>
    <w:p w:rsidR="008D1314" w:rsidRDefault="008D1314" w:rsidP="001F5FA8">
      <w:pPr>
        <w:spacing w:before="120" w:after="120" w:line="240" w:lineRule="auto"/>
        <w:jc w:val="both"/>
        <w:rPr>
          <w:rFonts w:ascii="Times New Roman" w:hAnsi="Times New Roman"/>
          <w:b/>
          <w:sz w:val="24"/>
          <w:szCs w:val="24"/>
        </w:rPr>
        <w:sectPr w:rsidR="008D1314" w:rsidSect="00E230BE">
          <w:type w:val="continuous"/>
          <w:pgSz w:w="11906" w:h="16838"/>
          <w:pgMar w:top="1417" w:right="849" w:bottom="1417" w:left="1134" w:header="708" w:footer="340" w:gutter="0"/>
          <w:cols w:space="708"/>
          <w:docGrid w:linePitch="360"/>
        </w:sect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lastRenderedPageBreak/>
        <w:t>1. GİRİŞ</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Düzenli depolama yöntemiyle bertaraf edilen kentsel atıklarda biyolojik reaksiyonlar sonucu deponi gazı (LFG) oluşmaktadır. Bu deponi gazının büyük bir CH</w:t>
      </w:r>
      <w:r w:rsidRPr="00D6441B">
        <w:rPr>
          <w:rFonts w:ascii="Times New Roman" w:hAnsi="Times New Roman"/>
          <w:sz w:val="24"/>
          <w:szCs w:val="24"/>
          <w:vertAlign w:val="subscript"/>
        </w:rPr>
        <w:t>4</w:t>
      </w:r>
      <w:r w:rsidRPr="00D6441B">
        <w:rPr>
          <w:rFonts w:ascii="Times New Roman" w:hAnsi="Times New Roman"/>
          <w:sz w:val="24"/>
          <w:szCs w:val="24"/>
        </w:rPr>
        <w:t xml:space="preserve"> ve CO</w:t>
      </w:r>
      <w:r w:rsidRPr="00D6441B">
        <w:rPr>
          <w:rFonts w:ascii="Times New Roman" w:hAnsi="Times New Roman"/>
          <w:sz w:val="24"/>
          <w:szCs w:val="24"/>
          <w:vertAlign w:val="subscript"/>
        </w:rPr>
        <w:t>2</w:t>
      </w:r>
      <w:r w:rsidRPr="00D6441B">
        <w:rPr>
          <w:rFonts w:ascii="Times New Roman" w:hAnsi="Times New Roman"/>
          <w:sz w:val="24"/>
          <w:szCs w:val="24"/>
        </w:rPr>
        <w:t xml:space="preserve"> gazları oluşturmasına rağmen, daha düşük miktarlarda da olsa H</w:t>
      </w:r>
      <w:r w:rsidRPr="00D6441B">
        <w:rPr>
          <w:rFonts w:ascii="Times New Roman" w:hAnsi="Times New Roman"/>
          <w:sz w:val="24"/>
          <w:szCs w:val="24"/>
          <w:vertAlign w:val="subscript"/>
        </w:rPr>
        <w:t>2</w:t>
      </w:r>
      <w:r w:rsidRPr="00D6441B">
        <w:rPr>
          <w:rFonts w:ascii="Times New Roman" w:hAnsi="Times New Roman"/>
          <w:sz w:val="24"/>
          <w:szCs w:val="24"/>
        </w:rPr>
        <w:t>, O</w:t>
      </w:r>
      <w:r w:rsidRPr="00D6441B">
        <w:rPr>
          <w:rFonts w:ascii="Times New Roman" w:hAnsi="Times New Roman"/>
          <w:sz w:val="24"/>
          <w:szCs w:val="24"/>
          <w:vertAlign w:val="subscript"/>
        </w:rPr>
        <w:t>2</w:t>
      </w:r>
      <w:r w:rsidRPr="00D6441B">
        <w:rPr>
          <w:rFonts w:ascii="Times New Roman" w:hAnsi="Times New Roman"/>
          <w:sz w:val="24"/>
          <w:szCs w:val="24"/>
        </w:rPr>
        <w:t>, H</w:t>
      </w:r>
      <w:r w:rsidRPr="00D6441B">
        <w:rPr>
          <w:rFonts w:ascii="Times New Roman" w:hAnsi="Times New Roman"/>
          <w:sz w:val="24"/>
          <w:szCs w:val="24"/>
          <w:vertAlign w:val="subscript"/>
        </w:rPr>
        <w:t>2</w:t>
      </w:r>
      <w:r w:rsidRPr="00D6441B">
        <w:rPr>
          <w:rFonts w:ascii="Times New Roman" w:hAnsi="Times New Roman"/>
          <w:sz w:val="24"/>
          <w:szCs w:val="24"/>
        </w:rPr>
        <w:t>S, N</w:t>
      </w:r>
      <w:r w:rsidRPr="00D6441B">
        <w:rPr>
          <w:rFonts w:ascii="Times New Roman" w:hAnsi="Times New Roman"/>
          <w:sz w:val="24"/>
          <w:szCs w:val="24"/>
          <w:vertAlign w:val="subscript"/>
        </w:rPr>
        <w:t>2</w:t>
      </w:r>
      <w:r w:rsidRPr="00D6441B">
        <w:rPr>
          <w:rFonts w:ascii="Times New Roman" w:hAnsi="Times New Roman"/>
          <w:sz w:val="24"/>
          <w:szCs w:val="24"/>
        </w:rPr>
        <w:t>, NH</w:t>
      </w:r>
      <w:r w:rsidRPr="00D6441B">
        <w:rPr>
          <w:rFonts w:ascii="Times New Roman" w:hAnsi="Times New Roman"/>
          <w:sz w:val="24"/>
          <w:szCs w:val="24"/>
          <w:vertAlign w:val="subscript"/>
        </w:rPr>
        <w:t>3</w:t>
      </w:r>
      <w:r w:rsidRPr="00D6441B">
        <w:rPr>
          <w:rFonts w:ascii="Times New Roman" w:hAnsi="Times New Roman"/>
          <w:sz w:val="24"/>
          <w:szCs w:val="24"/>
        </w:rPr>
        <w:t xml:space="preserve"> ve CO ile çeşitli uçucu organik bileşikler (VOC) gibi değişik gazların karışımından oluşmaktadır (Tchobanoglous vd., 1993). Potansiyel patlama tehlikesi ve kanserojen olan birçok zararlı madde kimyasal olarak değişmektedir (ISWA, </w:t>
      </w:r>
      <w:r w:rsidRPr="00D6441B">
        <w:rPr>
          <w:rFonts w:ascii="Times New Roman" w:hAnsi="Times New Roman"/>
          <w:sz w:val="24"/>
          <w:szCs w:val="24"/>
        </w:rPr>
        <w:lastRenderedPageBreak/>
        <w:t xml:space="preserve">1993). Deponi alanında oluşan kokular çevre alanlarda oluşan insanları rahatsız etmektedir. Ayrıca, bu kötü kokulara neden olan gazların çoğunun kanserojen özellik taşıdığı da bilinmektedir. Araştırmacılar tarafından gerçekleştirilen bir çok çalışmada bu etkilerinden dolayı düzenli depolama alanlarında aromatik bir grup olan ve BTEX olarak adlandırılan, benzen, toluen, etilbenzen, mp-ksilen ve o-ksilen gazlarını içeren uçucu organik gaz karışımı analiz edilmekte ve izlenmektedir. </w:t>
      </w:r>
      <w:r w:rsidRPr="00D6441B">
        <w:rPr>
          <w:rFonts w:ascii="Times New Roman" w:hAnsi="Times New Roman"/>
          <w:bCs/>
          <w:sz w:val="24"/>
          <w:szCs w:val="24"/>
        </w:rPr>
        <w:t xml:space="preserve">BTEX, 160’tan fazla türü bilinen uçucu organik bileşenlerden depolama alanlarında en fazla görüleni olmakla beraber, </w:t>
      </w:r>
      <w:r w:rsidRPr="00D6441B">
        <w:rPr>
          <w:rFonts w:ascii="Times New Roman" w:hAnsi="Times New Roman"/>
          <w:bCs/>
          <w:sz w:val="24"/>
          <w:szCs w:val="24"/>
        </w:rPr>
        <w:lastRenderedPageBreak/>
        <w:t xml:space="preserve">benzen tehlikeli ve iyi bilinen bir kanserojen madde olarak belirtilmektedir (USEPA, 2002). </w:t>
      </w:r>
      <w:r w:rsidRPr="00D6441B">
        <w:rPr>
          <w:rFonts w:ascii="Times New Roman" w:hAnsi="Times New Roman"/>
          <w:sz w:val="24"/>
          <w:szCs w:val="24"/>
        </w:rPr>
        <w:t>Günümüzde depolama alanlarından kaynaklanan deponi gazlarının örneklenmesi ve analizi ile ilgili açık ve ileriye dönük bir standart metot bulunmamaktadır. Kentsel katı atık depolama bilimi ve teknolojisi oldukça yeni olmakla birlikte tesisin işletimi, veri toplanması ve yönetim sistemleri ile çevresel etkileri endişe vermektedir. % 75 oranında organik atık içeren katı atıktan, atığın kilogramına karşılık 1.22 m</w:t>
      </w:r>
      <w:r w:rsidRPr="00D6441B">
        <w:rPr>
          <w:rFonts w:ascii="Times New Roman" w:hAnsi="Times New Roman"/>
          <w:sz w:val="24"/>
          <w:szCs w:val="24"/>
          <w:vertAlign w:val="superscript"/>
        </w:rPr>
        <w:t>3</w:t>
      </w:r>
      <w:r w:rsidRPr="00D6441B">
        <w:rPr>
          <w:rFonts w:ascii="Times New Roman" w:hAnsi="Times New Roman"/>
          <w:sz w:val="24"/>
          <w:szCs w:val="24"/>
        </w:rPr>
        <w:t xml:space="preserve"> gaz üretildiği tahmin edilmektedir (Hamideh, 2000; Hester ve Harrison, 1995; Colls, 2002).</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Depolama gazındaki metan olmayan organik bileşenler (NMOC), LFG’ nin bir fraksiyonu olarak tanımlanır ve hava kirleticilerini ve metan olmayan organik bileşenleri içerir. NMOC konsantrasyonları USEPA Method 25c’ye göre ölçülmektedir (Hamideh, 2000). İngiltere’de yapılan bir çalışmada alınan deponi gazı örneklerinde 116 farklı iz organik bileşen tespit edilmiştir. NMOC konsantrasyonları deponi gazının % 1’den azını oluşturmaktadır. </w:t>
      </w:r>
      <w:r w:rsidRPr="00D6441B">
        <w:rPr>
          <w:rFonts w:ascii="Times New Roman" w:hAnsi="Times New Roman"/>
          <w:sz w:val="24"/>
          <w:szCs w:val="24"/>
        </w:rPr>
        <w:lastRenderedPageBreak/>
        <w:t>Uçucu organik bileşikler ise deponi gazı içindeki NMOC konsantrasyonlarının % 39’unu oluşturmaktadır. Depolama alanlarından oluşan gaz türlerine ilişkin yapılan çalışmalarda birçok VOC türü saptanmıştır. Örneğin, 60 örnek üzerinde yapılan bir çalışmada 0.1 – 2.0 ppm arasında değişen oranlarda benzen ve en yüksek konsantrasyon olan 250 ppm oranında da Toluen saptanmıştır (Urase vd., 2006; Hester ve Harrison, 1995). Tablo 1’ de çeşitli depolama alanlarında tespit edilen BTEX konsantrasyonlarına ilişkin bilgiler sunulmuştur.</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Bu çalışmada, İzmit’te bulunan ve sırasıyla 2000 ve 2005 yıllarında dolarak üzeri toprak örtüsü ile kapatılan kentsel katı atık düzenli depolama alanındaki iki lotta oluşan LFG içindeki BTEX emisyonları EPA Method TO-17’ye göre analiz edilmiştir. Bu çalışma sürecinde gaz toplama ve yakma sistemi henüz faaliyette bulunmadığı için dış ortam örneklemesi ile atmosferik BTEX konsantrasyonları belirlenebilmiştir.</w:t>
      </w:r>
    </w:p>
    <w:p w:rsidR="001F5FA8" w:rsidRPr="00D6441B" w:rsidRDefault="001F5FA8" w:rsidP="001F5FA8">
      <w:pPr>
        <w:spacing w:before="120" w:after="120" w:line="240" w:lineRule="auto"/>
        <w:jc w:val="both"/>
        <w:rPr>
          <w:rFonts w:ascii="Times New Roman" w:hAnsi="Times New Roman"/>
          <w:sz w:val="24"/>
          <w:szCs w:val="24"/>
        </w:rPr>
      </w:pPr>
    </w:p>
    <w:p w:rsidR="00273EA0" w:rsidRDefault="00273EA0" w:rsidP="001F5FA8">
      <w:pPr>
        <w:spacing w:before="120" w:after="120" w:line="240" w:lineRule="auto"/>
        <w:jc w:val="both"/>
        <w:rPr>
          <w:rFonts w:ascii="Times New Roman" w:hAnsi="Times New Roman"/>
          <w:b/>
          <w:sz w:val="24"/>
          <w:szCs w:val="24"/>
        </w:rPr>
        <w:sectPr w:rsidR="00273EA0" w:rsidSect="00E230BE">
          <w:type w:val="continuous"/>
          <w:pgSz w:w="11906" w:h="16838"/>
          <w:pgMar w:top="1417" w:right="849" w:bottom="1417" w:left="1134" w:header="708" w:footer="340" w:gutter="0"/>
          <w:cols w:num="2" w:space="708"/>
          <w:docGrid w:linePitch="360"/>
        </w:sectPr>
      </w:pPr>
      <w:bookmarkStart w:id="16" w:name="_Toc202798800"/>
    </w:p>
    <w:p w:rsidR="00273EA0" w:rsidRDefault="00273EA0"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b/>
          <w:sz w:val="24"/>
          <w:szCs w:val="24"/>
        </w:rPr>
        <w:t xml:space="preserve">Tablo 1. </w:t>
      </w:r>
      <w:r w:rsidRPr="00D6441B">
        <w:rPr>
          <w:rFonts w:ascii="Times New Roman" w:hAnsi="Times New Roman"/>
          <w:sz w:val="24"/>
          <w:szCs w:val="24"/>
        </w:rPr>
        <w:t>Çeşitli depolama alanlarında tespit edilen BTEX konsantrasyonları (Hamideh, 2000).</w:t>
      </w:r>
      <w:bookmarkEnd w:id="16"/>
    </w:p>
    <w:tbl>
      <w:tblPr>
        <w:tblW w:w="9356" w:type="dxa"/>
        <w:tblInd w:w="8" w:type="dxa"/>
        <w:tblLayout w:type="fixed"/>
        <w:tblCellMar>
          <w:left w:w="0" w:type="dxa"/>
          <w:right w:w="0" w:type="dxa"/>
        </w:tblCellMar>
        <w:tblLook w:val="0000" w:firstRow="0" w:lastRow="0" w:firstColumn="0" w:lastColumn="0" w:noHBand="0" w:noVBand="0"/>
      </w:tblPr>
      <w:tblGrid>
        <w:gridCol w:w="1701"/>
        <w:gridCol w:w="1047"/>
        <w:gridCol w:w="1080"/>
        <w:gridCol w:w="992"/>
        <w:gridCol w:w="992"/>
        <w:gridCol w:w="992"/>
        <w:gridCol w:w="1276"/>
        <w:gridCol w:w="1276"/>
      </w:tblGrid>
      <w:tr w:rsidR="001F5FA8" w:rsidRPr="00D6441B" w:rsidTr="008D1314">
        <w:trPr>
          <w:trHeight w:hRule="exact" w:val="839"/>
        </w:trPr>
        <w:tc>
          <w:tcPr>
            <w:tcW w:w="1701"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b/>
                <w:spacing w:val="20"/>
                <w:sz w:val="24"/>
                <w:szCs w:val="24"/>
              </w:rPr>
            </w:pPr>
            <w:bookmarkStart w:id="17" w:name="OLE_LINK9"/>
            <w:r w:rsidRPr="00D6441B">
              <w:rPr>
                <w:rFonts w:ascii="Times New Roman" w:hAnsi="Times New Roman"/>
                <w:b/>
                <w:spacing w:val="20"/>
                <w:sz w:val="24"/>
                <w:szCs w:val="24"/>
              </w:rPr>
              <w:t>Kimyasalın Adı</w:t>
            </w:r>
          </w:p>
        </w:tc>
        <w:tc>
          <w:tcPr>
            <w:tcW w:w="1047"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b/>
                <w:sz w:val="24"/>
                <w:szCs w:val="24"/>
              </w:rPr>
            </w:pPr>
            <w:r w:rsidRPr="00D6441B">
              <w:rPr>
                <w:rFonts w:ascii="Times New Roman" w:hAnsi="Times New Roman"/>
                <w:b/>
                <w:sz w:val="24"/>
                <w:szCs w:val="24"/>
              </w:rPr>
              <w:t>Kimyasal</w:t>
            </w:r>
          </w:p>
          <w:p w:rsidR="001F5FA8" w:rsidRPr="00D6441B" w:rsidRDefault="001F5FA8" w:rsidP="008D1314">
            <w:pPr>
              <w:widowControl w:val="0"/>
              <w:spacing w:after="0" w:line="240" w:lineRule="auto"/>
              <w:ind w:right="-20"/>
              <w:jc w:val="center"/>
              <w:rPr>
                <w:rFonts w:ascii="Times New Roman" w:hAnsi="Times New Roman"/>
                <w:b/>
                <w:sz w:val="24"/>
                <w:szCs w:val="24"/>
              </w:rPr>
            </w:pPr>
            <w:r w:rsidRPr="00D6441B">
              <w:rPr>
                <w:rFonts w:ascii="Times New Roman" w:hAnsi="Times New Roman"/>
                <w:b/>
                <w:sz w:val="24"/>
                <w:szCs w:val="24"/>
              </w:rPr>
              <w:t>Formül</w:t>
            </w:r>
          </w:p>
        </w:tc>
        <w:tc>
          <w:tcPr>
            <w:tcW w:w="1080"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b/>
                <w:sz w:val="24"/>
                <w:szCs w:val="24"/>
              </w:rPr>
            </w:pPr>
            <w:r w:rsidRPr="00D6441B">
              <w:rPr>
                <w:rFonts w:ascii="Times New Roman" w:hAnsi="Times New Roman"/>
                <w:b/>
                <w:sz w:val="24"/>
                <w:szCs w:val="24"/>
              </w:rPr>
              <w:t>Kayna.</w:t>
            </w:r>
          </w:p>
          <w:p w:rsidR="001F5FA8" w:rsidRPr="00D6441B" w:rsidRDefault="001F5FA8" w:rsidP="008D1314">
            <w:pPr>
              <w:widowControl w:val="0"/>
              <w:spacing w:after="0" w:line="240" w:lineRule="auto"/>
              <w:ind w:right="-20"/>
              <w:jc w:val="center"/>
              <w:rPr>
                <w:rFonts w:ascii="Times New Roman" w:hAnsi="Times New Roman"/>
                <w:b/>
                <w:sz w:val="24"/>
                <w:szCs w:val="24"/>
              </w:rPr>
            </w:pPr>
            <w:r w:rsidRPr="00D6441B">
              <w:rPr>
                <w:rFonts w:ascii="Times New Roman" w:hAnsi="Times New Roman"/>
                <w:b/>
                <w:sz w:val="24"/>
                <w:szCs w:val="24"/>
              </w:rPr>
              <w:t>Nok.</w:t>
            </w:r>
          </w:p>
          <w:p w:rsidR="001F5FA8" w:rsidRPr="00D6441B" w:rsidRDefault="001F5FA8" w:rsidP="008D1314">
            <w:pPr>
              <w:widowControl w:val="0"/>
              <w:spacing w:after="0" w:line="240" w:lineRule="auto"/>
              <w:ind w:right="-20"/>
              <w:jc w:val="center"/>
              <w:rPr>
                <w:rFonts w:ascii="Times New Roman" w:hAnsi="Times New Roman"/>
                <w:b/>
                <w:sz w:val="24"/>
                <w:szCs w:val="24"/>
              </w:rPr>
            </w:pPr>
            <w:r w:rsidRPr="00D6441B">
              <w:rPr>
                <w:rFonts w:ascii="Times New Roman" w:hAnsi="Times New Roman"/>
                <w:b/>
                <w:sz w:val="24"/>
                <w:szCs w:val="24"/>
              </w:rPr>
              <w:t>(</w:t>
            </w:r>
            <w:r w:rsidRPr="00D6441B">
              <w:rPr>
                <w:rFonts w:ascii="Times New Roman" w:hAnsi="Times New Roman"/>
                <w:b/>
                <w:sz w:val="24"/>
                <w:szCs w:val="24"/>
                <w:vertAlign w:val="superscript"/>
              </w:rPr>
              <w:t>0</w:t>
            </w:r>
            <w:r w:rsidRPr="00D6441B">
              <w:rPr>
                <w:rFonts w:ascii="Times New Roman" w:hAnsi="Times New Roman"/>
                <w:b/>
                <w:sz w:val="24"/>
                <w:szCs w:val="24"/>
              </w:rPr>
              <w:t>C)</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jc w:val="center"/>
              <w:rPr>
                <w:rFonts w:ascii="Times New Roman" w:hAnsi="Times New Roman"/>
                <w:b/>
                <w:sz w:val="24"/>
                <w:szCs w:val="24"/>
              </w:rPr>
            </w:pPr>
            <w:r w:rsidRPr="00D6441B">
              <w:rPr>
                <w:rFonts w:ascii="Times New Roman" w:hAnsi="Times New Roman"/>
                <w:b/>
                <w:sz w:val="24"/>
                <w:szCs w:val="24"/>
              </w:rPr>
              <w:t>Min.</w:t>
            </w:r>
          </w:p>
          <w:p w:rsidR="001F5FA8" w:rsidRPr="00D6441B" w:rsidRDefault="001F5FA8" w:rsidP="008D1314">
            <w:pPr>
              <w:widowControl w:val="0"/>
              <w:spacing w:after="0" w:line="240" w:lineRule="auto"/>
              <w:jc w:val="center"/>
              <w:rPr>
                <w:rFonts w:ascii="Times New Roman" w:hAnsi="Times New Roman"/>
                <w:b/>
                <w:sz w:val="24"/>
                <w:szCs w:val="24"/>
              </w:rPr>
            </w:pPr>
            <w:r w:rsidRPr="00D6441B">
              <w:rPr>
                <w:rFonts w:ascii="Times New Roman" w:hAnsi="Times New Roman"/>
                <w:b/>
                <w:sz w:val="24"/>
                <w:szCs w:val="24"/>
              </w:rPr>
              <w:t>Kons.</w:t>
            </w:r>
          </w:p>
          <w:p w:rsidR="001F5FA8" w:rsidRPr="00D6441B" w:rsidRDefault="001F5FA8" w:rsidP="008D1314">
            <w:pPr>
              <w:widowControl w:val="0"/>
              <w:spacing w:after="0" w:line="240" w:lineRule="auto"/>
              <w:jc w:val="center"/>
              <w:rPr>
                <w:rFonts w:ascii="Times New Roman" w:hAnsi="Times New Roman"/>
                <w:b/>
                <w:sz w:val="24"/>
                <w:szCs w:val="24"/>
              </w:rPr>
            </w:pPr>
            <w:r w:rsidRPr="00D6441B">
              <w:rPr>
                <w:rFonts w:ascii="Times New Roman" w:hAnsi="Times New Roman"/>
                <w:b/>
                <w:sz w:val="24"/>
                <w:szCs w:val="24"/>
              </w:rPr>
              <w:t>(mg/m</w:t>
            </w:r>
            <w:r w:rsidRPr="00D6441B">
              <w:rPr>
                <w:rFonts w:ascii="Times New Roman" w:hAnsi="Times New Roman"/>
                <w:b/>
                <w:sz w:val="24"/>
                <w:szCs w:val="24"/>
                <w:vertAlign w:val="superscript"/>
              </w:rPr>
              <w:t>3</w:t>
            </w:r>
            <w:r w:rsidRPr="00D6441B">
              <w:rPr>
                <w:rFonts w:ascii="Times New Roman" w:hAnsi="Times New Roman"/>
                <w:b/>
                <w:sz w:val="24"/>
                <w:szCs w:val="24"/>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b/>
                <w:sz w:val="24"/>
                <w:szCs w:val="24"/>
              </w:rPr>
            </w:pPr>
            <w:r w:rsidRPr="00D6441B">
              <w:rPr>
                <w:rFonts w:ascii="Times New Roman" w:hAnsi="Times New Roman"/>
                <w:b/>
                <w:sz w:val="24"/>
                <w:szCs w:val="24"/>
              </w:rPr>
              <w:t>Ort.</w:t>
            </w:r>
          </w:p>
          <w:p w:rsidR="001F5FA8" w:rsidRPr="00D6441B" w:rsidRDefault="001F5FA8" w:rsidP="008D1314">
            <w:pPr>
              <w:widowControl w:val="0"/>
              <w:spacing w:after="0" w:line="240" w:lineRule="auto"/>
              <w:ind w:right="-20"/>
              <w:jc w:val="center"/>
              <w:rPr>
                <w:rFonts w:ascii="Times New Roman" w:hAnsi="Times New Roman"/>
                <w:b/>
                <w:sz w:val="24"/>
                <w:szCs w:val="24"/>
              </w:rPr>
            </w:pPr>
            <w:r w:rsidRPr="00D6441B">
              <w:rPr>
                <w:rFonts w:ascii="Times New Roman" w:hAnsi="Times New Roman"/>
                <w:b/>
                <w:sz w:val="24"/>
                <w:szCs w:val="24"/>
              </w:rPr>
              <w:t>Kons.</w:t>
            </w:r>
          </w:p>
          <w:p w:rsidR="001F5FA8" w:rsidRPr="00D6441B" w:rsidRDefault="001F5FA8" w:rsidP="008D1314">
            <w:pPr>
              <w:widowControl w:val="0"/>
              <w:spacing w:after="0" w:line="240" w:lineRule="auto"/>
              <w:ind w:right="-20"/>
              <w:jc w:val="center"/>
              <w:rPr>
                <w:rFonts w:ascii="Times New Roman" w:hAnsi="Times New Roman"/>
                <w:b/>
                <w:sz w:val="24"/>
                <w:szCs w:val="24"/>
              </w:rPr>
            </w:pPr>
            <w:r w:rsidRPr="00D6441B">
              <w:rPr>
                <w:rFonts w:ascii="Times New Roman" w:hAnsi="Times New Roman"/>
                <w:b/>
                <w:sz w:val="24"/>
                <w:szCs w:val="24"/>
              </w:rPr>
              <w:t>(mg/m</w:t>
            </w:r>
            <w:r w:rsidRPr="00D6441B">
              <w:rPr>
                <w:rFonts w:ascii="Times New Roman" w:hAnsi="Times New Roman"/>
                <w:b/>
                <w:sz w:val="24"/>
                <w:szCs w:val="24"/>
                <w:vertAlign w:val="superscript"/>
              </w:rPr>
              <w:t>3</w:t>
            </w:r>
            <w:r w:rsidRPr="00D6441B">
              <w:rPr>
                <w:rFonts w:ascii="Times New Roman" w:hAnsi="Times New Roman"/>
                <w:b/>
                <w:sz w:val="24"/>
                <w:szCs w:val="24"/>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b/>
                <w:sz w:val="24"/>
                <w:szCs w:val="24"/>
              </w:rPr>
            </w:pPr>
            <w:r w:rsidRPr="00D6441B">
              <w:rPr>
                <w:rFonts w:ascii="Times New Roman" w:hAnsi="Times New Roman"/>
                <w:b/>
                <w:sz w:val="24"/>
                <w:szCs w:val="24"/>
              </w:rPr>
              <w:t>Max.</w:t>
            </w:r>
          </w:p>
          <w:p w:rsidR="001F5FA8" w:rsidRPr="00D6441B" w:rsidRDefault="001F5FA8" w:rsidP="008D1314">
            <w:pPr>
              <w:widowControl w:val="0"/>
              <w:spacing w:after="0" w:line="240" w:lineRule="auto"/>
              <w:jc w:val="center"/>
              <w:rPr>
                <w:rFonts w:ascii="Times New Roman" w:hAnsi="Times New Roman"/>
                <w:b/>
                <w:sz w:val="24"/>
                <w:szCs w:val="24"/>
              </w:rPr>
            </w:pPr>
            <w:r w:rsidRPr="00D6441B">
              <w:rPr>
                <w:rFonts w:ascii="Times New Roman" w:hAnsi="Times New Roman"/>
                <w:b/>
                <w:sz w:val="24"/>
                <w:szCs w:val="24"/>
              </w:rPr>
              <w:t>Kons.</w:t>
            </w:r>
          </w:p>
          <w:p w:rsidR="001F5FA8" w:rsidRPr="00D6441B" w:rsidRDefault="001F5FA8" w:rsidP="008D1314">
            <w:pPr>
              <w:widowControl w:val="0"/>
              <w:spacing w:after="0" w:line="240" w:lineRule="auto"/>
              <w:jc w:val="center"/>
              <w:rPr>
                <w:rFonts w:ascii="Times New Roman" w:hAnsi="Times New Roman"/>
                <w:b/>
                <w:sz w:val="24"/>
                <w:szCs w:val="24"/>
              </w:rPr>
            </w:pPr>
            <w:r w:rsidRPr="00D6441B">
              <w:rPr>
                <w:rFonts w:ascii="Times New Roman" w:hAnsi="Times New Roman"/>
                <w:b/>
                <w:sz w:val="24"/>
                <w:szCs w:val="24"/>
              </w:rPr>
              <w:t>(mg/m</w:t>
            </w:r>
            <w:r w:rsidRPr="00D6441B">
              <w:rPr>
                <w:rFonts w:ascii="Times New Roman" w:hAnsi="Times New Roman"/>
                <w:b/>
                <w:sz w:val="24"/>
                <w:szCs w:val="24"/>
                <w:vertAlign w:val="superscript"/>
              </w:rPr>
              <w:t>3</w:t>
            </w:r>
            <w:r w:rsidRPr="00D6441B">
              <w:rPr>
                <w:rFonts w:ascii="Times New Roman" w:hAnsi="Times New Roman"/>
                <w:b/>
                <w:sz w:val="24"/>
                <w:szCs w:val="24"/>
              </w:rPr>
              <w:t>)</w:t>
            </w:r>
          </w:p>
        </w:tc>
        <w:tc>
          <w:tcPr>
            <w:tcW w:w="1276"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shd w:val="clear" w:color="auto" w:fill="FFFFFF"/>
              <w:spacing w:after="0" w:line="240" w:lineRule="auto"/>
              <w:ind w:right="-40"/>
              <w:jc w:val="center"/>
              <w:rPr>
                <w:rFonts w:ascii="Times New Roman" w:hAnsi="Times New Roman"/>
                <w:b/>
                <w:bCs/>
                <w:sz w:val="24"/>
                <w:szCs w:val="24"/>
              </w:rPr>
            </w:pPr>
            <w:r w:rsidRPr="00D6441B">
              <w:rPr>
                <w:rFonts w:ascii="Times New Roman" w:hAnsi="Times New Roman"/>
                <w:b/>
                <w:bCs/>
                <w:sz w:val="24"/>
                <w:szCs w:val="24"/>
              </w:rPr>
              <w:t>TLV, ppm,</w:t>
            </w:r>
          </w:p>
          <w:p w:rsidR="001F5FA8" w:rsidRPr="00D6441B" w:rsidRDefault="001F5FA8" w:rsidP="008D1314">
            <w:pPr>
              <w:shd w:val="clear" w:color="auto" w:fill="FFFFFF"/>
              <w:spacing w:after="0" w:line="240" w:lineRule="auto"/>
              <w:ind w:right="-40"/>
              <w:jc w:val="center"/>
              <w:rPr>
                <w:rFonts w:ascii="Times New Roman" w:hAnsi="Times New Roman"/>
                <w:b/>
                <w:bCs/>
                <w:sz w:val="24"/>
                <w:szCs w:val="24"/>
              </w:rPr>
            </w:pPr>
            <w:r w:rsidRPr="00D6441B">
              <w:rPr>
                <w:rFonts w:ascii="Times New Roman" w:hAnsi="Times New Roman"/>
                <w:b/>
                <w:bCs/>
                <w:sz w:val="24"/>
                <w:szCs w:val="24"/>
              </w:rPr>
              <w:t>(USEPA, 2002)</w:t>
            </w:r>
          </w:p>
        </w:tc>
        <w:tc>
          <w:tcPr>
            <w:tcW w:w="1276"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b/>
                <w:sz w:val="24"/>
                <w:szCs w:val="24"/>
              </w:rPr>
            </w:pPr>
            <w:r w:rsidRPr="00D6441B">
              <w:rPr>
                <w:rFonts w:ascii="Times New Roman" w:hAnsi="Times New Roman"/>
                <w:b/>
                <w:sz w:val="24"/>
                <w:szCs w:val="24"/>
              </w:rPr>
              <w:t>Örnek Sayısı</w:t>
            </w:r>
          </w:p>
        </w:tc>
      </w:tr>
      <w:tr w:rsidR="001F5FA8" w:rsidRPr="00D6441B" w:rsidTr="008D1314">
        <w:trPr>
          <w:trHeight w:hRule="exact" w:val="466"/>
        </w:trPr>
        <w:tc>
          <w:tcPr>
            <w:tcW w:w="1701"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Benzen</w:t>
            </w:r>
          </w:p>
        </w:tc>
        <w:tc>
          <w:tcPr>
            <w:tcW w:w="1047"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C</w:t>
            </w:r>
            <w:r w:rsidRPr="00D6441B">
              <w:rPr>
                <w:rFonts w:ascii="Times New Roman" w:hAnsi="Times New Roman"/>
                <w:sz w:val="24"/>
                <w:szCs w:val="24"/>
                <w:vertAlign w:val="subscript"/>
              </w:rPr>
              <w:t>6</w:t>
            </w:r>
            <w:r w:rsidRPr="00D6441B">
              <w:rPr>
                <w:rFonts w:ascii="Times New Roman" w:hAnsi="Times New Roman"/>
                <w:sz w:val="24"/>
                <w:szCs w:val="24"/>
              </w:rPr>
              <w:t>H</w:t>
            </w:r>
            <w:r w:rsidRPr="00D6441B">
              <w:rPr>
                <w:rFonts w:ascii="Times New Roman" w:hAnsi="Times New Roman"/>
                <w:sz w:val="24"/>
                <w:szCs w:val="24"/>
                <w:vertAlign w:val="subscript"/>
              </w:rPr>
              <w:t>6</w:t>
            </w:r>
          </w:p>
        </w:tc>
        <w:tc>
          <w:tcPr>
            <w:tcW w:w="1080"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80.1</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341.51</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341.5</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341.51</w:t>
            </w:r>
          </w:p>
        </w:tc>
        <w:tc>
          <w:tcPr>
            <w:tcW w:w="1276" w:type="dxa"/>
            <w:tcBorders>
              <w:top w:val="single" w:sz="6" w:space="0" w:color="000000"/>
              <w:left w:val="single" w:sz="6" w:space="0" w:color="000000"/>
              <w:bottom w:val="single" w:sz="6" w:space="0" w:color="000000"/>
              <w:right w:val="single" w:sz="6" w:space="0" w:color="000000"/>
            </w:tcBorders>
          </w:tcPr>
          <w:p w:rsidR="001F5FA8" w:rsidRPr="00D6441B" w:rsidRDefault="001F5FA8" w:rsidP="008D1314">
            <w:pPr>
              <w:shd w:val="clear" w:color="auto" w:fill="FFFFFF"/>
              <w:spacing w:after="0" w:line="240" w:lineRule="auto"/>
              <w:jc w:val="center"/>
              <w:rPr>
                <w:rFonts w:ascii="Times New Roman" w:hAnsi="Times New Roman"/>
                <w:sz w:val="24"/>
                <w:szCs w:val="24"/>
              </w:rPr>
            </w:pPr>
            <w:r w:rsidRPr="00D6441B">
              <w:rPr>
                <w:rFonts w:ascii="Times New Roman" w:hAnsi="Times New Roman"/>
                <w:sz w:val="24"/>
                <w:szCs w:val="24"/>
              </w:rPr>
              <w:t>0.5</w:t>
            </w:r>
          </w:p>
        </w:tc>
        <w:tc>
          <w:tcPr>
            <w:tcW w:w="1276"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45</w:t>
            </w:r>
          </w:p>
        </w:tc>
      </w:tr>
      <w:bookmarkEnd w:id="17"/>
      <w:tr w:rsidR="001F5FA8" w:rsidRPr="00D6441B" w:rsidTr="008D1314">
        <w:trPr>
          <w:trHeight w:hRule="exact" w:val="340"/>
        </w:trPr>
        <w:tc>
          <w:tcPr>
            <w:tcW w:w="1701"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Toluen</w:t>
            </w:r>
          </w:p>
        </w:tc>
        <w:tc>
          <w:tcPr>
            <w:tcW w:w="1047"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C</w:t>
            </w:r>
            <w:r w:rsidRPr="00D6441B">
              <w:rPr>
                <w:rFonts w:ascii="Times New Roman" w:hAnsi="Times New Roman"/>
                <w:sz w:val="24"/>
                <w:szCs w:val="24"/>
                <w:vertAlign w:val="subscript"/>
              </w:rPr>
              <w:t>7</w:t>
            </w:r>
            <w:r w:rsidRPr="00D6441B">
              <w:rPr>
                <w:rFonts w:ascii="Times New Roman" w:hAnsi="Times New Roman"/>
                <w:sz w:val="24"/>
                <w:szCs w:val="24"/>
              </w:rPr>
              <w:t>H</w:t>
            </w:r>
            <w:r w:rsidRPr="00D6441B">
              <w:rPr>
                <w:rFonts w:ascii="Times New Roman" w:hAnsi="Times New Roman"/>
                <w:sz w:val="24"/>
                <w:szCs w:val="24"/>
                <w:vertAlign w:val="subscript"/>
              </w:rPr>
              <w:t>8</w:t>
            </w:r>
          </w:p>
        </w:tc>
        <w:tc>
          <w:tcPr>
            <w:tcW w:w="1080"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110.7</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spacing w:after="0" w:line="240" w:lineRule="auto"/>
              <w:jc w:val="center"/>
              <w:rPr>
                <w:rFonts w:ascii="Times New Roman" w:hAnsi="Times New Roman"/>
                <w:sz w:val="24"/>
                <w:szCs w:val="24"/>
              </w:rPr>
            </w:pPr>
            <w:r w:rsidRPr="00D6441B">
              <w:rPr>
                <w:rFonts w:ascii="Times New Roman" w:hAnsi="Times New Roman"/>
                <w:sz w:val="24"/>
                <w:szCs w:val="24"/>
              </w:rPr>
              <w:t>&lt;DL</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spacing w:after="0" w:line="240" w:lineRule="auto"/>
              <w:jc w:val="center"/>
              <w:rPr>
                <w:rFonts w:ascii="Times New Roman" w:hAnsi="Times New Roman"/>
                <w:sz w:val="24"/>
                <w:szCs w:val="24"/>
              </w:rPr>
            </w:pPr>
            <w:r w:rsidRPr="00D6441B">
              <w:rPr>
                <w:rFonts w:ascii="Times New Roman" w:hAnsi="Times New Roman"/>
                <w:sz w:val="24"/>
                <w:szCs w:val="24"/>
              </w:rPr>
              <w:t>516.5</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spacing w:after="0" w:line="240" w:lineRule="auto"/>
              <w:jc w:val="center"/>
              <w:rPr>
                <w:rFonts w:ascii="Times New Roman" w:hAnsi="Times New Roman"/>
                <w:sz w:val="24"/>
                <w:szCs w:val="24"/>
              </w:rPr>
            </w:pPr>
            <w:r w:rsidRPr="00D6441B">
              <w:rPr>
                <w:rFonts w:ascii="Times New Roman" w:hAnsi="Times New Roman"/>
                <w:sz w:val="24"/>
                <w:szCs w:val="24"/>
              </w:rPr>
              <w:t>2184.05</w:t>
            </w:r>
          </w:p>
        </w:tc>
        <w:tc>
          <w:tcPr>
            <w:tcW w:w="1276" w:type="dxa"/>
            <w:tcBorders>
              <w:top w:val="single" w:sz="6" w:space="0" w:color="000000"/>
              <w:left w:val="single" w:sz="6" w:space="0" w:color="000000"/>
              <w:bottom w:val="single" w:sz="6" w:space="0" w:color="000000"/>
              <w:right w:val="single" w:sz="6" w:space="0" w:color="000000"/>
            </w:tcBorders>
          </w:tcPr>
          <w:p w:rsidR="001F5FA8" w:rsidRPr="00D6441B" w:rsidRDefault="001F5FA8" w:rsidP="008D1314">
            <w:pPr>
              <w:shd w:val="clear" w:color="auto" w:fill="FFFFFF"/>
              <w:spacing w:after="0" w:line="240" w:lineRule="auto"/>
              <w:jc w:val="center"/>
              <w:rPr>
                <w:rFonts w:ascii="Times New Roman" w:hAnsi="Times New Roman"/>
                <w:sz w:val="24"/>
                <w:szCs w:val="24"/>
              </w:rPr>
            </w:pPr>
            <w:r w:rsidRPr="00D6441B">
              <w:rPr>
                <w:rFonts w:ascii="Times New Roman" w:hAnsi="Times New Roman"/>
                <w:sz w:val="24"/>
                <w:szCs w:val="24"/>
              </w:rPr>
              <w:t>50</w:t>
            </w:r>
          </w:p>
        </w:tc>
        <w:tc>
          <w:tcPr>
            <w:tcW w:w="1276"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40</w:t>
            </w:r>
          </w:p>
        </w:tc>
      </w:tr>
      <w:tr w:rsidR="001F5FA8" w:rsidRPr="00D6441B" w:rsidTr="008D1314">
        <w:trPr>
          <w:trHeight w:hRule="exact" w:val="340"/>
        </w:trPr>
        <w:tc>
          <w:tcPr>
            <w:tcW w:w="1701"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Etilbenzen</w:t>
            </w:r>
          </w:p>
        </w:tc>
        <w:tc>
          <w:tcPr>
            <w:tcW w:w="1047"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C</w:t>
            </w:r>
            <w:r w:rsidRPr="00D6441B">
              <w:rPr>
                <w:rFonts w:ascii="Times New Roman" w:hAnsi="Times New Roman"/>
                <w:sz w:val="24"/>
                <w:szCs w:val="24"/>
                <w:vertAlign w:val="subscript"/>
              </w:rPr>
              <w:t>8</w:t>
            </w:r>
            <w:r w:rsidRPr="00D6441B">
              <w:rPr>
                <w:rFonts w:ascii="Times New Roman" w:hAnsi="Times New Roman"/>
                <w:sz w:val="24"/>
                <w:szCs w:val="24"/>
              </w:rPr>
              <w:t>H</w:t>
            </w:r>
            <w:r w:rsidRPr="00D6441B">
              <w:rPr>
                <w:rFonts w:ascii="Times New Roman" w:hAnsi="Times New Roman"/>
                <w:sz w:val="24"/>
                <w:szCs w:val="24"/>
                <w:vertAlign w:val="subscript"/>
              </w:rPr>
              <w:t>10</w:t>
            </w:r>
          </w:p>
        </w:tc>
        <w:tc>
          <w:tcPr>
            <w:tcW w:w="1080"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136.2</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spacing w:after="0" w:line="240" w:lineRule="auto"/>
              <w:jc w:val="center"/>
              <w:rPr>
                <w:rFonts w:ascii="Times New Roman" w:hAnsi="Times New Roman"/>
                <w:sz w:val="24"/>
                <w:szCs w:val="24"/>
              </w:rPr>
            </w:pPr>
            <w:r w:rsidRPr="00D6441B">
              <w:rPr>
                <w:rFonts w:ascii="Times New Roman" w:hAnsi="Times New Roman"/>
                <w:sz w:val="24"/>
                <w:szCs w:val="24"/>
              </w:rPr>
              <w:t>22.49</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spacing w:after="0" w:line="240" w:lineRule="auto"/>
              <w:jc w:val="center"/>
              <w:rPr>
                <w:rFonts w:ascii="Times New Roman" w:hAnsi="Times New Roman"/>
                <w:sz w:val="24"/>
                <w:szCs w:val="24"/>
              </w:rPr>
            </w:pPr>
            <w:r w:rsidRPr="00D6441B">
              <w:rPr>
                <w:rFonts w:ascii="Times New Roman" w:hAnsi="Times New Roman"/>
                <w:sz w:val="24"/>
                <w:szCs w:val="24"/>
              </w:rPr>
              <w:t>517.3</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spacing w:after="0" w:line="240" w:lineRule="auto"/>
              <w:jc w:val="center"/>
              <w:rPr>
                <w:rFonts w:ascii="Times New Roman" w:hAnsi="Times New Roman"/>
                <w:sz w:val="24"/>
                <w:szCs w:val="24"/>
              </w:rPr>
            </w:pPr>
            <w:r w:rsidRPr="00D6441B">
              <w:rPr>
                <w:rFonts w:ascii="Times New Roman" w:hAnsi="Times New Roman"/>
                <w:sz w:val="24"/>
                <w:szCs w:val="24"/>
              </w:rPr>
              <w:t>1431.49</w:t>
            </w:r>
          </w:p>
        </w:tc>
        <w:tc>
          <w:tcPr>
            <w:tcW w:w="1276" w:type="dxa"/>
            <w:tcBorders>
              <w:top w:val="single" w:sz="6" w:space="0" w:color="000000"/>
              <w:left w:val="single" w:sz="6" w:space="0" w:color="000000"/>
              <w:bottom w:val="single" w:sz="6" w:space="0" w:color="000000"/>
              <w:right w:val="single" w:sz="6" w:space="0" w:color="000000"/>
            </w:tcBorders>
          </w:tcPr>
          <w:p w:rsidR="001F5FA8" w:rsidRPr="00D6441B" w:rsidRDefault="001F5FA8" w:rsidP="008D1314">
            <w:pPr>
              <w:shd w:val="clear" w:color="auto" w:fill="FFFFFF"/>
              <w:spacing w:after="0" w:line="240" w:lineRule="auto"/>
              <w:jc w:val="center"/>
              <w:rPr>
                <w:rFonts w:ascii="Times New Roman" w:hAnsi="Times New Roman"/>
                <w:sz w:val="24"/>
                <w:szCs w:val="24"/>
              </w:rPr>
            </w:pPr>
            <w:r w:rsidRPr="00D6441B">
              <w:rPr>
                <w:rFonts w:ascii="Times New Roman" w:hAnsi="Times New Roman"/>
                <w:sz w:val="24"/>
                <w:szCs w:val="24"/>
              </w:rPr>
              <w:t>100</w:t>
            </w:r>
          </w:p>
        </w:tc>
        <w:tc>
          <w:tcPr>
            <w:tcW w:w="1276"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31</w:t>
            </w:r>
          </w:p>
        </w:tc>
      </w:tr>
      <w:tr w:rsidR="001F5FA8" w:rsidRPr="00D6441B" w:rsidTr="008D1314">
        <w:trPr>
          <w:trHeight w:hRule="exact" w:val="340"/>
        </w:trPr>
        <w:tc>
          <w:tcPr>
            <w:tcW w:w="1701"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Ksilen (xylene)</w:t>
            </w:r>
          </w:p>
        </w:tc>
        <w:tc>
          <w:tcPr>
            <w:tcW w:w="1047"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jc w:val="center"/>
              <w:rPr>
                <w:rFonts w:ascii="Times New Roman" w:hAnsi="Times New Roman"/>
                <w:sz w:val="24"/>
                <w:szCs w:val="24"/>
              </w:rPr>
            </w:pPr>
            <w:r w:rsidRPr="00D6441B">
              <w:rPr>
                <w:rFonts w:ascii="Times New Roman" w:hAnsi="Times New Roman"/>
                <w:sz w:val="24"/>
                <w:szCs w:val="24"/>
              </w:rPr>
              <w:t>C</w:t>
            </w:r>
            <w:r w:rsidRPr="00D6441B">
              <w:rPr>
                <w:rFonts w:ascii="Times New Roman" w:hAnsi="Times New Roman"/>
                <w:sz w:val="24"/>
                <w:szCs w:val="24"/>
                <w:vertAlign w:val="subscript"/>
              </w:rPr>
              <w:t>8</w:t>
            </w:r>
            <w:r w:rsidRPr="00D6441B">
              <w:rPr>
                <w:rFonts w:ascii="Times New Roman" w:hAnsi="Times New Roman"/>
                <w:sz w:val="24"/>
                <w:szCs w:val="24"/>
              </w:rPr>
              <w:t>H</w:t>
            </w:r>
            <w:r w:rsidRPr="00D6441B">
              <w:rPr>
                <w:rFonts w:ascii="Times New Roman" w:hAnsi="Times New Roman"/>
                <w:sz w:val="24"/>
                <w:szCs w:val="24"/>
                <w:vertAlign w:val="subscript"/>
              </w:rPr>
              <w:t>10</w:t>
            </w:r>
          </w:p>
        </w:tc>
        <w:tc>
          <w:tcPr>
            <w:tcW w:w="1080"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140</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spacing w:after="0" w:line="240" w:lineRule="auto"/>
              <w:jc w:val="center"/>
              <w:rPr>
                <w:rFonts w:ascii="Times New Roman" w:hAnsi="Times New Roman"/>
                <w:sz w:val="24"/>
                <w:szCs w:val="24"/>
              </w:rPr>
            </w:pPr>
            <w:r w:rsidRPr="00D6441B">
              <w:rPr>
                <w:rFonts w:ascii="Times New Roman" w:hAnsi="Times New Roman"/>
                <w:sz w:val="24"/>
                <w:szCs w:val="24"/>
              </w:rPr>
              <w:t>0.31</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spacing w:after="0" w:line="240" w:lineRule="auto"/>
              <w:jc w:val="center"/>
              <w:rPr>
                <w:rFonts w:ascii="Times New Roman" w:hAnsi="Times New Roman"/>
                <w:sz w:val="24"/>
                <w:szCs w:val="24"/>
              </w:rPr>
            </w:pPr>
            <w:r w:rsidRPr="00D6441B">
              <w:rPr>
                <w:rFonts w:ascii="Times New Roman" w:hAnsi="Times New Roman"/>
                <w:sz w:val="24"/>
                <w:szCs w:val="24"/>
              </w:rPr>
              <w:t>44.44</w:t>
            </w:r>
          </w:p>
        </w:tc>
        <w:tc>
          <w:tcPr>
            <w:tcW w:w="992"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spacing w:after="0" w:line="240" w:lineRule="auto"/>
              <w:jc w:val="center"/>
              <w:rPr>
                <w:rFonts w:ascii="Times New Roman" w:hAnsi="Times New Roman"/>
                <w:sz w:val="24"/>
                <w:szCs w:val="24"/>
              </w:rPr>
            </w:pPr>
            <w:r w:rsidRPr="00D6441B">
              <w:rPr>
                <w:rFonts w:ascii="Times New Roman" w:hAnsi="Times New Roman"/>
                <w:sz w:val="24"/>
                <w:szCs w:val="24"/>
              </w:rPr>
              <w:t>875.26</w:t>
            </w:r>
          </w:p>
        </w:tc>
        <w:tc>
          <w:tcPr>
            <w:tcW w:w="1276" w:type="dxa"/>
            <w:tcBorders>
              <w:top w:val="single" w:sz="6" w:space="0" w:color="000000"/>
              <w:left w:val="single" w:sz="6" w:space="0" w:color="000000"/>
              <w:bottom w:val="single" w:sz="6" w:space="0" w:color="000000"/>
              <w:right w:val="single" w:sz="6" w:space="0" w:color="000000"/>
            </w:tcBorders>
          </w:tcPr>
          <w:p w:rsidR="001F5FA8" w:rsidRPr="00D6441B" w:rsidRDefault="001F5FA8" w:rsidP="008D1314">
            <w:pPr>
              <w:shd w:val="clear" w:color="auto" w:fill="FFFFFF"/>
              <w:spacing w:after="0" w:line="240" w:lineRule="auto"/>
              <w:jc w:val="center"/>
              <w:rPr>
                <w:rFonts w:ascii="Times New Roman" w:hAnsi="Times New Roman"/>
                <w:sz w:val="24"/>
                <w:szCs w:val="24"/>
              </w:rPr>
            </w:pPr>
            <w:r w:rsidRPr="00D6441B">
              <w:rPr>
                <w:rFonts w:ascii="Times New Roman" w:hAnsi="Times New Roman"/>
                <w:sz w:val="24"/>
                <w:szCs w:val="24"/>
              </w:rPr>
              <w:t>100</w:t>
            </w:r>
          </w:p>
        </w:tc>
        <w:tc>
          <w:tcPr>
            <w:tcW w:w="1276" w:type="dxa"/>
            <w:tcBorders>
              <w:top w:val="single" w:sz="6" w:space="0" w:color="000000"/>
              <w:left w:val="single" w:sz="6" w:space="0" w:color="000000"/>
              <w:bottom w:val="single" w:sz="6" w:space="0" w:color="000000"/>
              <w:right w:val="single" w:sz="6" w:space="0" w:color="000000"/>
            </w:tcBorders>
            <w:vAlign w:val="center"/>
          </w:tcPr>
          <w:p w:rsidR="001F5FA8" w:rsidRPr="00D6441B" w:rsidRDefault="001F5FA8" w:rsidP="008D1314">
            <w:pPr>
              <w:widowControl w:val="0"/>
              <w:spacing w:after="0" w:line="240" w:lineRule="auto"/>
              <w:ind w:right="-20"/>
              <w:jc w:val="center"/>
              <w:rPr>
                <w:rFonts w:ascii="Times New Roman" w:hAnsi="Times New Roman"/>
                <w:sz w:val="24"/>
                <w:szCs w:val="24"/>
              </w:rPr>
            </w:pPr>
            <w:r w:rsidRPr="00D6441B">
              <w:rPr>
                <w:rFonts w:ascii="Times New Roman" w:hAnsi="Times New Roman"/>
                <w:sz w:val="24"/>
                <w:szCs w:val="24"/>
              </w:rPr>
              <w:t>2</w:t>
            </w:r>
          </w:p>
        </w:tc>
      </w:tr>
    </w:tbl>
    <w:p w:rsidR="00273EA0" w:rsidRDefault="001F5FA8" w:rsidP="001F5FA8">
      <w:pPr>
        <w:spacing w:before="120" w:after="120" w:line="240" w:lineRule="auto"/>
        <w:jc w:val="both"/>
        <w:rPr>
          <w:rFonts w:ascii="Times New Roman" w:hAnsi="Times New Roman"/>
          <w:sz w:val="24"/>
          <w:szCs w:val="24"/>
        </w:rPr>
        <w:sectPr w:rsidR="00273EA0" w:rsidSect="00273EA0">
          <w:type w:val="continuous"/>
          <w:pgSz w:w="11906" w:h="16838"/>
          <w:pgMar w:top="1417" w:right="849" w:bottom="1417" w:left="1134" w:header="708" w:footer="708" w:gutter="0"/>
          <w:cols w:space="708"/>
          <w:docGrid w:linePitch="360"/>
        </w:sectPr>
      </w:pPr>
      <w:r w:rsidRPr="00D6441B">
        <w:rPr>
          <w:rFonts w:ascii="Times New Roman" w:hAnsi="Times New Roman"/>
          <w:bCs/>
          <w:sz w:val="24"/>
          <w:szCs w:val="24"/>
        </w:rPr>
        <w:t xml:space="preserve">&lt;DL Ölçüm limitlerinin altında, </w:t>
      </w:r>
      <w:r w:rsidRPr="00D6441B">
        <w:rPr>
          <w:rFonts w:ascii="Times New Roman" w:hAnsi="Times New Roman"/>
          <w:sz w:val="24"/>
          <w:szCs w:val="24"/>
        </w:rPr>
        <w:t xml:space="preserve"> TLV-STEL (threshold limit value - short-time exposure limit).</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2. MATERYAL ve METOD</w:t>
      </w:r>
    </w:p>
    <w:p w:rsidR="001F5FA8" w:rsidRPr="00D6441B" w:rsidRDefault="001F5FA8" w:rsidP="001F5FA8">
      <w:pPr>
        <w:tabs>
          <w:tab w:val="left" w:pos="3828"/>
        </w:tabs>
        <w:spacing w:before="120" w:after="120" w:line="240" w:lineRule="auto"/>
        <w:jc w:val="both"/>
        <w:rPr>
          <w:rFonts w:ascii="Times New Roman" w:hAnsi="Times New Roman"/>
          <w:sz w:val="24"/>
          <w:szCs w:val="24"/>
        </w:rPr>
      </w:pPr>
    </w:p>
    <w:p w:rsidR="00273EA0" w:rsidRDefault="001F5FA8" w:rsidP="001F5FA8">
      <w:pPr>
        <w:tabs>
          <w:tab w:val="left" w:pos="3828"/>
        </w:tabs>
        <w:spacing w:before="120" w:after="120" w:line="240" w:lineRule="auto"/>
        <w:jc w:val="both"/>
        <w:rPr>
          <w:rFonts w:ascii="Times New Roman" w:hAnsi="Times New Roman"/>
          <w:sz w:val="24"/>
          <w:szCs w:val="24"/>
        </w:rPr>
      </w:pPr>
      <w:r w:rsidRPr="00D6441B">
        <w:rPr>
          <w:rFonts w:ascii="Times New Roman" w:hAnsi="Times New Roman"/>
          <w:sz w:val="24"/>
          <w:szCs w:val="24"/>
        </w:rPr>
        <w:t>İzmit’te bulunan düzenli depolama tesisinde 7 adet atık depolama lotu bulunmakla birlikte bunlarda altı tanesi kentsel katı atıkların depolanması ve bir tanesi de tehlikeli atıkların depolanması amacıyla kullanılmaktadır. Tesiste örneklemenin gerçekleştirildiği lotlardan ilkine (Lot-7) 1997-2000 yıllarında ve ikincisine de (Lot-5) 2000-2005 yıllarında depolama</w:t>
      </w:r>
    </w:p>
    <w:p w:rsidR="00273EA0" w:rsidRDefault="00273EA0" w:rsidP="001F5FA8">
      <w:pPr>
        <w:tabs>
          <w:tab w:val="left" w:pos="3828"/>
        </w:tabs>
        <w:spacing w:before="120" w:after="120" w:line="240" w:lineRule="auto"/>
        <w:jc w:val="both"/>
        <w:rPr>
          <w:rFonts w:ascii="Times New Roman" w:hAnsi="Times New Roman"/>
          <w:sz w:val="24"/>
          <w:szCs w:val="24"/>
        </w:rPr>
      </w:pPr>
    </w:p>
    <w:p w:rsidR="001F5FA8" w:rsidRPr="00D6441B" w:rsidRDefault="001F5FA8" w:rsidP="001F5FA8">
      <w:pPr>
        <w:tabs>
          <w:tab w:val="left" w:pos="3828"/>
        </w:tabs>
        <w:spacing w:before="120" w:after="120" w:line="240" w:lineRule="auto"/>
        <w:jc w:val="both"/>
        <w:rPr>
          <w:rFonts w:ascii="Times New Roman" w:hAnsi="Times New Roman"/>
          <w:sz w:val="24"/>
          <w:szCs w:val="24"/>
        </w:rPr>
      </w:pPr>
      <w:r w:rsidRPr="00D6441B">
        <w:rPr>
          <w:rFonts w:ascii="Times New Roman" w:hAnsi="Times New Roman"/>
          <w:sz w:val="24"/>
          <w:szCs w:val="24"/>
        </w:rPr>
        <w:t>yapılmış, dolmaları nedeniyle toprak örtüsü ile örtülerek kapatılmıştır. Bu tarihlere göre örnekleme zamanında atık yaşı Lot-7 için 7 ve Lot-5 için 2 olmaktadır. Örneklemelerin gerçekleştirildiği 2007 yılında henüz gaz toplama/yakma sistemi faal duruma olmadığı için ortam havasında adsorban tüplere yaz ve kış mevsimlerini belirtmek üzere farklı tarihlerde numuneler alınmıştır.</w:t>
      </w:r>
    </w:p>
    <w:p w:rsidR="001F5FA8" w:rsidRPr="00D6441B" w:rsidRDefault="001F5FA8" w:rsidP="001F5FA8">
      <w:pPr>
        <w:tabs>
          <w:tab w:val="left" w:pos="3828"/>
        </w:tabs>
        <w:spacing w:before="120" w:after="120" w:line="240" w:lineRule="auto"/>
        <w:jc w:val="both"/>
        <w:rPr>
          <w:rFonts w:ascii="Times New Roman" w:hAnsi="Times New Roman"/>
          <w:sz w:val="24"/>
          <w:szCs w:val="24"/>
        </w:rPr>
      </w:pPr>
    </w:p>
    <w:p w:rsidR="001F5FA8" w:rsidRPr="00D6441B" w:rsidRDefault="001F5FA8" w:rsidP="001F5FA8">
      <w:pPr>
        <w:tabs>
          <w:tab w:val="left" w:pos="3828"/>
        </w:tabs>
        <w:spacing w:before="120" w:after="120" w:line="240" w:lineRule="auto"/>
        <w:jc w:val="both"/>
        <w:rPr>
          <w:rFonts w:ascii="Times New Roman" w:hAnsi="Times New Roman"/>
          <w:b/>
          <w:sz w:val="24"/>
          <w:szCs w:val="24"/>
        </w:rPr>
      </w:pPr>
      <w:r w:rsidRPr="00D6441B">
        <w:rPr>
          <w:rFonts w:ascii="Times New Roman" w:hAnsi="Times New Roman"/>
          <w:b/>
          <w:sz w:val="24"/>
          <w:szCs w:val="24"/>
        </w:rPr>
        <w:lastRenderedPageBreak/>
        <w:t xml:space="preserve">2.1. Örnekleme ve </w:t>
      </w:r>
      <w:r>
        <w:rPr>
          <w:rFonts w:ascii="Times New Roman" w:hAnsi="Times New Roman"/>
          <w:b/>
          <w:sz w:val="24"/>
          <w:szCs w:val="24"/>
        </w:rPr>
        <w:t>A</w:t>
      </w:r>
      <w:r w:rsidRPr="00D6441B">
        <w:rPr>
          <w:rFonts w:ascii="Times New Roman" w:hAnsi="Times New Roman"/>
          <w:b/>
          <w:sz w:val="24"/>
          <w:szCs w:val="24"/>
        </w:rPr>
        <w:t>naliz</w:t>
      </w:r>
    </w:p>
    <w:p w:rsidR="001F5FA8" w:rsidRPr="00D6441B" w:rsidRDefault="001F5FA8" w:rsidP="001F5FA8">
      <w:pPr>
        <w:tabs>
          <w:tab w:val="left" w:pos="3828"/>
        </w:tabs>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Katı atık düzenli depolama tesisinin kapatılan Lot 5 ve Lot 7 lotlarında oluşarak atmosfere karışan BTEX emisyonlarının tespiti amacıyla çeşitli tarihlerde örnekleme yapılmıştır. Kış ve yaz mevsimlerini ifade edecek şekilde Ocak, Nisan ve Haziran 2007 tarihlerinde 10 farklı noktadan sorbent tüplere numuneler alınmıştır. Ocak ayında alınan tüpler yağışlı hava koşulları nedeniyle çok fazla nem içermesi nedeniyle analiz edilememiştir. Diğer tarihlerde yapılan örneklemelere ait analiz sonuçları bu çalışmada sunulmuştur. Örnekleme ve analiz EPA Method TO-17’ye göre gerçekleştirilmiştir. Tesis içinde 10 farklı noktada saat 10:00 ile 15:00 saatleri arasında örnekler toplanmıştır. Her bir noktada, 3 adet paslanmaz çelikten imal edilmiş olan ve 400 mg Carbograph 1 TD (Graphitised Carbon Black – Markes International, UK) sorbent malzemeli tek yataklı örnekleme tüpleri kullanılmıştır. Kullanılan tüm adsorban tüpler, Thermal Desorber cihazında 15 dak. süreyle 350 </w:t>
      </w:r>
      <w:r w:rsidRPr="00D6441B">
        <w:rPr>
          <w:rFonts w:ascii="Times New Roman" w:hAnsi="Times New Roman"/>
          <w:sz w:val="24"/>
          <w:szCs w:val="24"/>
          <w:vertAlign w:val="superscript"/>
        </w:rPr>
        <w:t>0</w:t>
      </w:r>
      <w:r w:rsidRPr="00D6441B">
        <w:rPr>
          <w:rFonts w:ascii="Times New Roman" w:hAnsi="Times New Roman"/>
          <w:sz w:val="24"/>
          <w:szCs w:val="24"/>
        </w:rPr>
        <w:t>C’de şartlandırılmıştır. Örnekler, aktif örnekleme ile 16.67 ml/dak debide, adsorban tüplere çok düşük debide gaz örneklemeyi sağlayan pompa (SKC AirLite Sampler 110–100, USA) ile 1 saat boyunca toplam 1 L hacimde toplanmıştır. Numuneler yerden yaklaşık 1.5 m yüksekten alınmıştır. Örnekleme pompası alan çalışması öncesinde örnekleme debisinde kalibre edilmiştir. Örnekleme sonunda numune ve şahit tüpleri PTFE kapatma contaları bulunduran ve desorpsiyonu önleyerek uzun süreli depolama sağlayan başlıkları ile sıkıca kapatılmış, çalışma boyunca -10 </w:t>
      </w:r>
      <w:r w:rsidRPr="00D6441B">
        <w:rPr>
          <w:rFonts w:ascii="Times New Roman" w:hAnsi="Times New Roman"/>
          <w:sz w:val="24"/>
          <w:szCs w:val="24"/>
          <w:vertAlign w:val="superscript"/>
        </w:rPr>
        <w:t>0</w:t>
      </w:r>
      <w:r w:rsidRPr="00D6441B">
        <w:rPr>
          <w:rFonts w:ascii="Times New Roman" w:hAnsi="Times New Roman"/>
          <w:sz w:val="24"/>
          <w:szCs w:val="24"/>
        </w:rPr>
        <w:t xml:space="preserve">C’de muhafaza edilmiş ve 15 gün içinde analiz edilmesi sağlanmıştır </w:t>
      </w:r>
      <w:r w:rsidRPr="00D6441B">
        <w:rPr>
          <w:rFonts w:ascii="Times New Roman" w:hAnsi="Times New Roman"/>
          <w:sz w:val="24"/>
          <w:szCs w:val="24"/>
        </w:rPr>
        <w:lastRenderedPageBreak/>
        <w:t>(</w:t>
      </w:r>
      <w:r w:rsidRPr="00D6441B">
        <w:rPr>
          <w:rFonts w:ascii="Times New Roman" w:hAnsi="Times New Roman"/>
          <w:bCs/>
          <w:sz w:val="24"/>
          <w:szCs w:val="24"/>
        </w:rPr>
        <w:t>Durmusoglu vd., 2010</w:t>
      </w:r>
      <w:r w:rsidRPr="00D6441B">
        <w:rPr>
          <w:rFonts w:ascii="Times New Roman" w:hAnsi="Times New Roman"/>
          <w:sz w:val="24"/>
          <w:szCs w:val="24"/>
        </w:rPr>
        <w:t>). Şekil 1’de örnekleme işlemine ait bir resim verilmiştir.</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Analiz düzeneği Thermal Desorber (Markes Unity, USA) ve HP 6890N model FID detektörlü GC’ den oluşmaktadır. Thermal Desorber cihazına kalibrasyonda kullanılmak üzere bir kalibrasyon kiti bağlanmıştır. Cihazın kalibrasyonundan sonra devre dışı bırakılmıştır. GC’ de 30 m uzunluğunda ve DB-VRX (J&amp;W Scientiﬁc, USA) kolon kullanılmıştır. Tablo 2’de çalışmada uygulanan desorpsiyon ve kalibrasyon metotlarına ait işlem basamakları verilmiştir.</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tabs>
          <w:tab w:val="left" w:pos="3828"/>
        </w:tabs>
        <w:spacing w:before="120" w:after="120" w:line="240" w:lineRule="auto"/>
        <w:jc w:val="center"/>
        <w:rPr>
          <w:rFonts w:ascii="Times New Roman" w:hAnsi="Times New Roman"/>
          <w:b/>
          <w:sz w:val="24"/>
          <w:szCs w:val="24"/>
        </w:rPr>
      </w:pPr>
      <w:bookmarkStart w:id="18" w:name="_Toc202798850"/>
      <w:r>
        <w:rPr>
          <w:rFonts w:ascii="Times New Roman" w:hAnsi="Times New Roman"/>
          <w:noProof/>
          <w:sz w:val="24"/>
          <w:szCs w:val="24"/>
          <w:lang w:val="en-AU" w:eastAsia="en-AU"/>
        </w:rPr>
        <w:drawing>
          <wp:inline distT="0" distB="0" distL="0" distR="0">
            <wp:extent cx="2543175" cy="2752725"/>
            <wp:effectExtent l="19050" t="0" r="9525" b="0"/>
            <wp:docPr id="53" name="Resim 65" descr="Açıklama: BTEX_Numune%20alm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 descr="Açıklama: BTEX_Numune%20alma_2"/>
                    <pic:cNvPicPr>
                      <a:picLocks noChangeAspect="1" noChangeArrowheads="1"/>
                    </pic:cNvPicPr>
                  </pic:nvPicPr>
                  <pic:blipFill>
                    <a:blip r:embed="rId30" cstate="print"/>
                    <a:srcRect/>
                    <a:stretch>
                      <a:fillRect/>
                    </a:stretch>
                  </pic:blipFill>
                  <pic:spPr bwMode="auto">
                    <a:xfrm>
                      <a:off x="0" y="0"/>
                      <a:ext cx="2543175" cy="2752725"/>
                    </a:xfrm>
                    <a:prstGeom prst="rect">
                      <a:avLst/>
                    </a:prstGeom>
                    <a:noFill/>
                    <a:ln w="9525">
                      <a:noFill/>
                      <a:miter lim="800000"/>
                      <a:headEnd/>
                      <a:tailEnd/>
                    </a:ln>
                  </pic:spPr>
                </pic:pic>
              </a:graphicData>
            </a:graphic>
          </wp:inline>
        </w:drawing>
      </w:r>
    </w:p>
    <w:p w:rsidR="001F5FA8" w:rsidRPr="00D6441B" w:rsidRDefault="001F5FA8" w:rsidP="001F5FA8">
      <w:pPr>
        <w:tabs>
          <w:tab w:val="left" w:pos="3828"/>
        </w:tabs>
        <w:spacing w:before="120" w:after="120" w:line="240" w:lineRule="auto"/>
        <w:jc w:val="center"/>
        <w:rPr>
          <w:rFonts w:ascii="Times New Roman" w:hAnsi="Times New Roman"/>
          <w:sz w:val="24"/>
          <w:szCs w:val="24"/>
        </w:rPr>
      </w:pPr>
      <w:r w:rsidRPr="00D6441B">
        <w:rPr>
          <w:rFonts w:ascii="Times New Roman" w:hAnsi="Times New Roman"/>
          <w:b/>
          <w:sz w:val="24"/>
          <w:szCs w:val="24"/>
        </w:rPr>
        <w:t>Şekil 1.</w:t>
      </w:r>
      <w:r w:rsidRPr="00D6441B">
        <w:rPr>
          <w:rFonts w:ascii="Times New Roman" w:hAnsi="Times New Roman"/>
          <w:sz w:val="24"/>
          <w:szCs w:val="24"/>
        </w:rPr>
        <w:t xml:space="preserve"> Lot 5’te bir deponi gazı çıkış bacasında örnekleme ve GPS koordinatlarının belirlenmesi.</w:t>
      </w:r>
    </w:p>
    <w:p w:rsidR="001F5FA8" w:rsidRPr="00D6441B" w:rsidRDefault="001F5FA8" w:rsidP="001F5FA8">
      <w:pPr>
        <w:tabs>
          <w:tab w:val="left" w:pos="3828"/>
        </w:tabs>
        <w:spacing w:before="120" w:after="120" w:line="240" w:lineRule="auto"/>
        <w:jc w:val="both"/>
        <w:rPr>
          <w:rFonts w:ascii="Times New Roman" w:hAnsi="Times New Roman"/>
          <w:b/>
          <w:sz w:val="24"/>
          <w:szCs w:val="24"/>
        </w:rPr>
      </w:pPr>
    </w:p>
    <w:p w:rsidR="001F5FA8" w:rsidRPr="00D6441B" w:rsidRDefault="001F5FA8" w:rsidP="001F5FA8">
      <w:pPr>
        <w:tabs>
          <w:tab w:val="left" w:pos="3828"/>
        </w:tabs>
        <w:spacing w:before="120" w:after="120" w:line="240" w:lineRule="auto"/>
        <w:jc w:val="both"/>
        <w:rPr>
          <w:rFonts w:ascii="Times New Roman" w:hAnsi="Times New Roman"/>
          <w:b/>
          <w:sz w:val="24"/>
          <w:szCs w:val="24"/>
        </w:rPr>
      </w:pPr>
    </w:p>
    <w:p w:rsidR="00273EA0" w:rsidRDefault="00273EA0" w:rsidP="001F5FA8">
      <w:pPr>
        <w:tabs>
          <w:tab w:val="left" w:pos="3828"/>
        </w:tabs>
        <w:spacing w:before="120" w:after="120" w:line="240" w:lineRule="auto"/>
        <w:jc w:val="both"/>
        <w:rPr>
          <w:rFonts w:ascii="Times New Roman" w:hAnsi="Times New Roman"/>
          <w:b/>
          <w:sz w:val="24"/>
          <w:szCs w:val="24"/>
        </w:rPr>
        <w:sectPr w:rsidR="00273EA0" w:rsidSect="00E230BE">
          <w:type w:val="continuous"/>
          <w:pgSz w:w="11906" w:h="16838"/>
          <w:pgMar w:top="1417" w:right="849" w:bottom="1417" w:left="1134" w:header="708" w:footer="340" w:gutter="0"/>
          <w:cols w:num="2" w:space="708"/>
          <w:docGrid w:linePitch="360"/>
        </w:sectPr>
      </w:pPr>
    </w:p>
    <w:p w:rsidR="00273EA0" w:rsidRDefault="00273EA0" w:rsidP="001F5FA8">
      <w:pPr>
        <w:tabs>
          <w:tab w:val="left" w:pos="3828"/>
        </w:tabs>
        <w:spacing w:before="120" w:after="120" w:line="240" w:lineRule="auto"/>
        <w:jc w:val="both"/>
        <w:rPr>
          <w:rFonts w:ascii="Times New Roman" w:hAnsi="Times New Roman"/>
          <w:b/>
          <w:sz w:val="24"/>
          <w:szCs w:val="24"/>
        </w:rPr>
      </w:pPr>
    </w:p>
    <w:p w:rsidR="00273EA0" w:rsidRDefault="00273EA0" w:rsidP="001F5FA8">
      <w:pPr>
        <w:tabs>
          <w:tab w:val="left" w:pos="3828"/>
        </w:tabs>
        <w:spacing w:before="120" w:after="120" w:line="240" w:lineRule="auto"/>
        <w:jc w:val="both"/>
        <w:rPr>
          <w:rFonts w:ascii="Times New Roman" w:hAnsi="Times New Roman"/>
          <w:b/>
          <w:sz w:val="24"/>
          <w:szCs w:val="24"/>
        </w:rPr>
      </w:pPr>
    </w:p>
    <w:p w:rsidR="00273EA0" w:rsidRDefault="00273EA0" w:rsidP="001F5FA8">
      <w:pPr>
        <w:tabs>
          <w:tab w:val="left" w:pos="3828"/>
        </w:tabs>
        <w:spacing w:before="120" w:after="120" w:line="240" w:lineRule="auto"/>
        <w:jc w:val="both"/>
        <w:rPr>
          <w:rFonts w:ascii="Times New Roman" w:hAnsi="Times New Roman"/>
          <w:b/>
          <w:sz w:val="24"/>
          <w:szCs w:val="24"/>
        </w:rPr>
      </w:pPr>
    </w:p>
    <w:p w:rsidR="00273EA0" w:rsidRDefault="00273EA0" w:rsidP="001F5FA8">
      <w:pPr>
        <w:tabs>
          <w:tab w:val="left" w:pos="3828"/>
        </w:tabs>
        <w:spacing w:before="120" w:after="120" w:line="240" w:lineRule="auto"/>
        <w:jc w:val="both"/>
        <w:rPr>
          <w:rFonts w:ascii="Times New Roman" w:hAnsi="Times New Roman"/>
          <w:b/>
          <w:sz w:val="24"/>
          <w:szCs w:val="24"/>
        </w:rPr>
      </w:pPr>
    </w:p>
    <w:p w:rsidR="00273EA0" w:rsidRDefault="00273EA0" w:rsidP="001F5FA8">
      <w:pPr>
        <w:tabs>
          <w:tab w:val="left" w:pos="3828"/>
        </w:tabs>
        <w:spacing w:before="120" w:after="120" w:line="240" w:lineRule="auto"/>
        <w:jc w:val="both"/>
        <w:rPr>
          <w:rFonts w:ascii="Times New Roman" w:hAnsi="Times New Roman"/>
          <w:b/>
          <w:sz w:val="24"/>
          <w:szCs w:val="24"/>
        </w:rPr>
      </w:pPr>
    </w:p>
    <w:p w:rsidR="00273EA0" w:rsidRDefault="00273EA0" w:rsidP="001F5FA8">
      <w:pPr>
        <w:tabs>
          <w:tab w:val="left" w:pos="3828"/>
        </w:tabs>
        <w:spacing w:before="120" w:after="120" w:line="240" w:lineRule="auto"/>
        <w:jc w:val="both"/>
        <w:rPr>
          <w:rFonts w:ascii="Times New Roman" w:hAnsi="Times New Roman"/>
          <w:b/>
          <w:sz w:val="24"/>
          <w:szCs w:val="24"/>
        </w:rPr>
      </w:pPr>
    </w:p>
    <w:p w:rsidR="00273EA0" w:rsidRDefault="00273EA0" w:rsidP="001F5FA8">
      <w:pPr>
        <w:tabs>
          <w:tab w:val="left" w:pos="3828"/>
        </w:tabs>
        <w:spacing w:before="120" w:after="120" w:line="240" w:lineRule="auto"/>
        <w:jc w:val="both"/>
        <w:rPr>
          <w:rFonts w:ascii="Times New Roman" w:hAnsi="Times New Roman"/>
          <w:b/>
          <w:sz w:val="24"/>
          <w:szCs w:val="24"/>
        </w:rPr>
      </w:pPr>
    </w:p>
    <w:p w:rsidR="00273EA0" w:rsidRDefault="00273EA0" w:rsidP="001F5FA8">
      <w:pPr>
        <w:tabs>
          <w:tab w:val="left" w:pos="3828"/>
        </w:tabs>
        <w:spacing w:before="120" w:after="120" w:line="240" w:lineRule="auto"/>
        <w:jc w:val="both"/>
        <w:rPr>
          <w:rFonts w:ascii="Times New Roman" w:hAnsi="Times New Roman"/>
          <w:b/>
          <w:sz w:val="24"/>
          <w:szCs w:val="24"/>
        </w:rPr>
      </w:pPr>
    </w:p>
    <w:p w:rsidR="00273EA0" w:rsidRDefault="00273EA0" w:rsidP="001F5FA8">
      <w:pPr>
        <w:tabs>
          <w:tab w:val="left" w:pos="3828"/>
        </w:tabs>
        <w:spacing w:before="120" w:after="120" w:line="240" w:lineRule="auto"/>
        <w:jc w:val="both"/>
        <w:rPr>
          <w:rFonts w:ascii="Times New Roman" w:hAnsi="Times New Roman"/>
          <w:b/>
          <w:sz w:val="24"/>
          <w:szCs w:val="24"/>
        </w:rPr>
      </w:pPr>
    </w:p>
    <w:p w:rsidR="001F5FA8" w:rsidRPr="00D6441B" w:rsidRDefault="001F5FA8" w:rsidP="001F5FA8">
      <w:pPr>
        <w:tabs>
          <w:tab w:val="left" w:pos="3828"/>
        </w:tabs>
        <w:spacing w:before="120" w:after="120" w:line="240" w:lineRule="auto"/>
        <w:jc w:val="both"/>
        <w:rPr>
          <w:rFonts w:ascii="Times New Roman" w:hAnsi="Times New Roman"/>
          <w:sz w:val="24"/>
          <w:szCs w:val="24"/>
        </w:rPr>
      </w:pPr>
      <w:r w:rsidRPr="00D6441B">
        <w:rPr>
          <w:rFonts w:ascii="Times New Roman" w:hAnsi="Times New Roman"/>
          <w:b/>
          <w:sz w:val="24"/>
          <w:szCs w:val="24"/>
        </w:rPr>
        <w:lastRenderedPageBreak/>
        <w:t>Tablo 2.</w:t>
      </w:r>
      <w:r w:rsidRPr="00D6441B">
        <w:rPr>
          <w:rFonts w:ascii="Times New Roman" w:hAnsi="Times New Roman"/>
          <w:sz w:val="24"/>
          <w:szCs w:val="24"/>
        </w:rPr>
        <w:t xml:space="preserve"> Thermal Desorber, GC - FID için geliştirilen fırın ve detektör programına ait metot detayları</w:t>
      </w:r>
      <w:bookmarkStart w:id="19" w:name="_Toc202798849"/>
      <w:bookmarkEnd w:id="18"/>
      <w:r w:rsidRPr="00D6441B">
        <w:rPr>
          <w:rFonts w:ascii="Times New Roman" w:hAnsi="Times New Roman"/>
          <w:sz w:val="24"/>
          <w:szCs w:val="24"/>
        </w:rPr>
        <w:t>.</w:t>
      </w:r>
      <w:bookmarkEnd w:id="19"/>
    </w:p>
    <w:tbl>
      <w:tblPr>
        <w:tblW w:w="8505" w:type="dxa"/>
        <w:tblInd w:w="70" w:type="dxa"/>
        <w:tblCellMar>
          <w:left w:w="70" w:type="dxa"/>
          <w:right w:w="70" w:type="dxa"/>
        </w:tblCellMar>
        <w:tblLook w:val="0000" w:firstRow="0" w:lastRow="0" w:firstColumn="0" w:lastColumn="0" w:noHBand="0" w:noVBand="0"/>
      </w:tblPr>
      <w:tblGrid>
        <w:gridCol w:w="3261"/>
        <w:gridCol w:w="2268"/>
        <w:gridCol w:w="2976"/>
      </w:tblGrid>
      <w:tr w:rsidR="001F5FA8" w:rsidRPr="00D6441B" w:rsidTr="008D1314">
        <w:trPr>
          <w:trHeight w:val="355"/>
        </w:trPr>
        <w:tc>
          <w:tcPr>
            <w:tcW w:w="8505"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b/>
                <w:bCs/>
                <w:sz w:val="24"/>
                <w:szCs w:val="24"/>
              </w:rPr>
            </w:pPr>
            <w:r w:rsidRPr="00D6441B">
              <w:rPr>
                <w:rFonts w:ascii="Times New Roman" w:hAnsi="Times New Roman"/>
                <w:b/>
                <w:bCs/>
                <w:sz w:val="24"/>
                <w:szCs w:val="24"/>
              </w:rPr>
              <w:t>Thermal Desorber Desorpsiyon Programı</w:t>
            </w:r>
          </w:p>
        </w:tc>
      </w:tr>
      <w:tr w:rsidR="001F5FA8" w:rsidRPr="00D6441B" w:rsidTr="008D1314">
        <w:trPr>
          <w:trHeight w:val="255"/>
        </w:trPr>
        <w:tc>
          <w:tcPr>
            <w:tcW w:w="3261" w:type="dxa"/>
            <w:tcBorders>
              <w:top w:val="nil"/>
              <w:left w:val="single" w:sz="8" w:space="0" w:color="auto"/>
              <w:bottom w:val="single" w:sz="4"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Primary Desorb</w:t>
            </w:r>
          </w:p>
        </w:tc>
        <w:tc>
          <w:tcPr>
            <w:tcW w:w="2268" w:type="dxa"/>
            <w:tcBorders>
              <w:top w:val="nil"/>
              <w:left w:val="nil"/>
              <w:bottom w:val="single" w:sz="4"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0.5</w:t>
            </w:r>
          </w:p>
        </w:tc>
        <w:tc>
          <w:tcPr>
            <w:tcW w:w="2976" w:type="dxa"/>
            <w:tcBorders>
              <w:top w:val="nil"/>
              <w:left w:val="single" w:sz="4" w:space="0" w:color="auto"/>
              <w:bottom w:val="single" w:sz="4" w:space="0" w:color="auto"/>
              <w:right w:val="single" w:sz="8"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dak.</w:t>
            </w:r>
          </w:p>
        </w:tc>
      </w:tr>
      <w:tr w:rsidR="001F5FA8" w:rsidRPr="00D6441B" w:rsidTr="008D1314">
        <w:trPr>
          <w:trHeight w:val="255"/>
        </w:trPr>
        <w:tc>
          <w:tcPr>
            <w:tcW w:w="3261" w:type="dxa"/>
            <w:tcBorders>
              <w:top w:val="nil"/>
              <w:left w:val="single" w:sz="8" w:space="0" w:color="auto"/>
              <w:bottom w:val="single" w:sz="4"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Tube Desorb</w:t>
            </w:r>
          </w:p>
        </w:tc>
        <w:tc>
          <w:tcPr>
            <w:tcW w:w="2268" w:type="dxa"/>
            <w:tcBorders>
              <w:top w:val="nil"/>
              <w:left w:val="nil"/>
              <w:bottom w:val="single" w:sz="4"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10</w:t>
            </w:r>
          </w:p>
        </w:tc>
        <w:tc>
          <w:tcPr>
            <w:tcW w:w="2976" w:type="dxa"/>
            <w:tcBorders>
              <w:top w:val="nil"/>
              <w:left w:val="single" w:sz="4" w:space="0" w:color="auto"/>
              <w:bottom w:val="single" w:sz="4" w:space="0" w:color="auto"/>
              <w:right w:val="single" w:sz="8"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dak.</w:t>
            </w:r>
          </w:p>
        </w:tc>
      </w:tr>
      <w:tr w:rsidR="001F5FA8" w:rsidRPr="00D6441B" w:rsidTr="008D1314">
        <w:trPr>
          <w:trHeight w:val="285"/>
        </w:trPr>
        <w:tc>
          <w:tcPr>
            <w:tcW w:w="3261" w:type="dxa"/>
            <w:tcBorders>
              <w:top w:val="nil"/>
              <w:left w:val="single" w:sz="8" w:space="0" w:color="auto"/>
              <w:bottom w:val="single" w:sz="4"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Tube Desorb Temp.</w:t>
            </w:r>
          </w:p>
        </w:tc>
        <w:tc>
          <w:tcPr>
            <w:tcW w:w="2268" w:type="dxa"/>
            <w:tcBorders>
              <w:top w:val="nil"/>
              <w:left w:val="nil"/>
              <w:bottom w:val="single" w:sz="4"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300</w:t>
            </w:r>
          </w:p>
        </w:tc>
        <w:tc>
          <w:tcPr>
            <w:tcW w:w="2976" w:type="dxa"/>
            <w:tcBorders>
              <w:top w:val="nil"/>
              <w:left w:val="single" w:sz="4" w:space="0" w:color="auto"/>
              <w:bottom w:val="single" w:sz="4" w:space="0" w:color="auto"/>
              <w:right w:val="single" w:sz="8"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vertAlign w:val="superscript"/>
              </w:rPr>
              <w:t>0</w:t>
            </w:r>
            <w:r w:rsidRPr="00D6441B">
              <w:rPr>
                <w:rFonts w:ascii="Times New Roman" w:hAnsi="Times New Roman"/>
                <w:sz w:val="24"/>
                <w:szCs w:val="24"/>
              </w:rPr>
              <w:t>C</w:t>
            </w:r>
          </w:p>
        </w:tc>
      </w:tr>
      <w:tr w:rsidR="001F5FA8" w:rsidRPr="00D6441B" w:rsidTr="008D1314">
        <w:trPr>
          <w:trHeight w:val="285"/>
        </w:trPr>
        <w:tc>
          <w:tcPr>
            <w:tcW w:w="3261" w:type="dxa"/>
            <w:tcBorders>
              <w:top w:val="nil"/>
              <w:left w:val="single" w:sz="8" w:space="0" w:color="auto"/>
              <w:bottom w:val="single" w:sz="4"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Trap Desorb (LOW)</w:t>
            </w:r>
          </w:p>
        </w:tc>
        <w:tc>
          <w:tcPr>
            <w:tcW w:w="2268" w:type="dxa"/>
            <w:tcBorders>
              <w:top w:val="nil"/>
              <w:left w:val="nil"/>
              <w:bottom w:val="single" w:sz="4"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-10</w:t>
            </w:r>
          </w:p>
        </w:tc>
        <w:tc>
          <w:tcPr>
            <w:tcW w:w="2976" w:type="dxa"/>
            <w:tcBorders>
              <w:top w:val="nil"/>
              <w:left w:val="single" w:sz="4" w:space="0" w:color="auto"/>
              <w:bottom w:val="single" w:sz="4" w:space="0" w:color="auto"/>
              <w:right w:val="single" w:sz="8"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vertAlign w:val="superscript"/>
              </w:rPr>
              <w:t>0</w:t>
            </w:r>
            <w:r w:rsidRPr="00D6441B">
              <w:rPr>
                <w:rFonts w:ascii="Times New Roman" w:hAnsi="Times New Roman"/>
                <w:sz w:val="24"/>
                <w:szCs w:val="24"/>
              </w:rPr>
              <w:t>C</w:t>
            </w:r>
          </w:p>
        </w:tc>
      </w:tr>
      <w:tr w:rsidR="001F5FA8" w:rsidRPr="00D6441B" w:rsidTr="008D1314">
        <w:trPr>
          <w:trHeight w:val="285"/>
        </w:trPr>
        <w:tc>
          <w:tcPr>
            <w:tcW w:w="3261" w:type="dxa"/>
            <w:tcBorders>
              <w:top w:val="nil"/>
              <w:left w:val="single" w:sz="8" w:space="0" w:color="auto"/>
              <w:bottom w:val="single" w:sz="4"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Trap Desorb (HIGH)</w:t>
            </w:r>
          </w:p>
        </w:tc>
        <w:tc>
          <w:tcPr>
            <w:tcW w:w="2268" w:type="dxa"/>
            <w:tcBorders>
              <w:top w:val="nil"/>
              <w:left w:val="nil"/>
              <w:bottom w:val="single" w:sz="4"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300</w:t>
            </w:r>
          </w:p>
        </w:tc>
        <w:tc>
          <w:tcPr>
            <w:tcW w:w="2976" w:type="dxa"/>
            <w:tcBorders>
              <w:top w:val="nil"/>
              <w:left w:val="single" w:sz="4" w:space="0" w:color="auto"/>
              <w:bottom w:val="single" w:sz="4" w:space="0" w:color="auto"/>
              <w:right w:val="single" w:sz="8"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vertAlign w:val="superscript"/>
              </w:rPr>
              <w:t>0</w:t>
            </w:r>
            <w:r w:rsidRPr="00D6441B">
              <w:rPr>
                <w:rFonts w:ascii="Times New Roman" w:hAnsi="Times New Roman"/>
                <w:sz w:val="24"/>
                <w:szCs w:val="24"/>
              </w:rPr>
              <w:t>C</w:t>
            </w:r>
          </w:p>
        </w:tc>
      </w:tr>
      <w:tr w:rsidR="001F5FA8" w:rsidRPr="00D6441B" w:rsidTr="008D1314">
        <w:trPr>
          <w:trHeight w:val="270"/>
        </w:trPr>
        <w:tc>
          <w:tcPr>
            <w:tcW w:w="3261" w:type="dxa"/>
            <w:tcBorders>
              <w:top w:val="nil"/>
              <w:left w:val="single" w:sz="8" w:space="0" w:color="auto"/>
              <w:bottom w:val="single" w:sz="8"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Trap Desorb Hold Time</w:t>
            </w:r>
          </w:p>
        </w:tc>
        <w:tc>
          <w:tcPr>
            <w:tcW w:w="2268" w:type="dxa"/>
            <w:tcBorders>
              <w:top w:val="nil"/>
              <w:left w:val="nil"/>
              <w:bottom w:val="single" w:sz="8" w:space="0" w:color="auto"/>
              <w:right w:val="single" w:sz="4"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3</w:t>
            </w:r>
          </w:p>
        </w:tc>
        <w:tc>
          <w:tcPr>
            <w:tcW w:w="2976" w:type="dxa"/>
            <w:tcBorders>
              <w:top w:val="nil"/>
              <w:left w:val="single" w:sz="4" w:space="0" w:color="auto"/>
              <w:bottom w:val="single" w:sz="8" w:space="0" w:color="auto"/>
              <w:right w:val="single" w:sz="8" w:space="0" w:color="auto"/>
            </w:tcBorders>
            <w:shd w:val="clear" w:color="auto" w:fill="auto"/>
            <w:noWrap/>
            <w:vAlign w:val="bottom"/>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dak.</w:t>
            </w:r>
          </w:p>
        </w:tc>
      </w:tr>
      <w:tr w:rsidR="001F5FA8" w:rsidRPr="00D6441B" w:rsidTr="008D1314">
        <w:trPr>
          <w:trHeight w:val="271"/>
        </w:trPr>
        <w:tc>
          <w:tcPr>
            <w:tcW w:w="85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b/>
                <w:bCs/>
                <w:sz w:val="24"/>
                <w:szCs w:val="24"/>
              </w:rPr>
            </w:pPr>
            <w:r w:rsidRPr="00D6441B">
              <w:rPr>
                <w:rFonts w:ascii="Times New Roman" w:hAnsi="Times New Roman"/>
                <w:b/>
                <w:bCs/>
                <w:sz w:val="24"/>
                <w:szCs w:val="24"/>
              </w:rPr>
              <w:t>GC Fırın Programı</w:t>
            </w:r>
          </w:p>
        </w:tc>
      </w:tr>
      <w:tr w:rsidR="001F5FA8" w:rsidRPr="00D6441B" w:rsidTr="008D1314">
        <w:trPr>
          <w:trHeight w:val="273"/>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vertAlign w:val="superscript"/>
              </w:rPr>
              <w:t>0</w:t>
            </w:r>
            <w:r w:rsidRPr="00D6441B">
              <w:rPr>
                <w:rFonts w:ascii="Times New Roman" w:hAnsi="Times New Roman"/>
                <w:sz w:val="24"/>
                <w:szCs w:val="24"/>
              </w:rPr>
              <w:t>C/Min</w:t>
            </w:r>
          </w:p>
        </w:tc>
        <w:tc>
          <w:tcPr>
            <w:tcW w:w="2268" w:type="dxa"/>
            <w:tcBorders>
              <w:top w:val="nil"/>
              <w:left w:val="nil"/>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Next (</w:t>
            </w:r>
            <w:r w:rsidRPr="00D6441B">
              <w:rPr>
                <w:rFonts w:ascii="Times New Roman" w:hAnsi="Times New Roman"/>
                <w:sz w:val="24"/>
                <w:szCs w:val="24"/>
                <w:vertAlign w:val="superscript"/>
              </w:rPr>
              <w:t>0</w:t>
            </w:r>
            <w:r w:rsidRPr="00D6441B">
              <w:rPr>
                <w:rFonts w:ascii="Times New Roman" w:hAnsi="Times New Roman"/>
                <w:sz w:val="24"/>
                <w:szCs w:val="24"/>
              </w:rPr>
              <w:t>C)</w:t>
            </w:r>
          </w:p>
        </w:tc>
        <w:tc>
          <w:tcPr>
            <w:tcW w:w="2976" w:type="dxa"/>
            <w:tcBorders>
              <w:top w:val="nil"/>
              <w:left w:val="nil"/>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Hold (bekleme süresi, dak.)</w:t>
            </w:r>
          </w:p>
        </w:tc>
      </w:tr>
      <w:tr w:rsidR="001F5FA8" w:rsidRPr="00D6441B" w:rsidTr="008D1314">
        <w:trPr>
          <w:trHeight w:val="309"/>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w:t>
            </w:r>
          </w:p>
        </w:tc>
        <w:tc>
          <w:tcPr>
            <w:tcW w:w="2268" w:type="dxa"/>
            <w:tcBorders>
              <w:top w:val="nil"/>
              <w:left w:val="nil"/>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45</w:t>
            </w:r>
          </w:p>
        </w:tc>
        <w:tc>
          <w:tcPr>
            <w:tcW w:w="2976" w:type="dxa"/>
            <w:tcBorders>
              <w:top w:val="nil"/>
              <w:left w:val="nil"/>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0</w:t>
            </w:r>
          </w:p>
        </w:tc>
      </w:tr>
      <w:tr w:rsidR="001F5FA8" w:rsidRPr="00D6441B" w:rsidTr="008D1314">
        <w:trPr>
          <w:trHeight w:val="255"/>
        </w:trPr>
        <w:tc>
          <w:tcPr>
            <w:tcW w:w="3261" w:type="dxa"/>
            <w:tcBorders>
              <w:top w:val="nil"/>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10</w:t>
            </w:r>
          </w:p>
        </w:tc>
        <w:tc>
          <w:tcPr>
            <w:tcW w:w="2268" w:type="dxa"/>
            <w:tcBorders>
              <w:top w:val="nil"/>
              <w:left w:val="nil"/>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240</w:t>
            </w:r>
          </w:p>
        </w:tc>
        <w:tc>
          <w:tcPr>
            <w:tcW w:w="2976" w:type="dxa"/>
            <w:tcBorders>
              <w:top w:val="nil"/>
              <w:left w:val="nil"/>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5</w:t>
            </w:r>
          </w:p>
        </w:tc>
      </w:tr>
      <w:tr w:rsidR="001F5FA8" w:rsidRPr="00D6441B" w:rsidTr="008D1314">
        <w:trPr>
          <w:trHeight w:val="375"/>
        </w:trPr>
        <w:tc>
          <w:tcPr>
            <w:tcW w:w="55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bCs/>
                <w:sz w:val="24"/>
                <w:szCs w:val="24"/>
              </w:rPr>
            </w:pPr>
            <w:r w:rsidRPr="00D6441B">
              <w:rPr>
                <w:rFonts w:ascii="Times New Roman" w:hAnsi="Times New Roman"/>
                <w:bCs/>
                <w:sz w:val="24"/>
                <w:szCs w:val="24"/>
              </w:rPr>
              <w:t>Toplam süre (dak.):</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bCs/>
                <w:sz w:val="24"/>
                <w:szCs w:val="24"/>
              </w:rPr>
            </w:pPr>
            <w:r w:rsidRPr="00D6441B">
              <w:rPr>
                <w:rFonts w:ascii="Times New Roman" w:hAnsi="Times New Roman"/>
                <w:bCs/>
                <w:sz w:val="24"/>
                <w:szCs w:val="24"/>
              </w:rPr>
              <w:t>24.5</w:t>
            </w:r>
          </w:p>
        </w:tc>
      </w:tr>
      <w:tr w:rsidR="001F5FA8" w:rsidRPr="00D6441B" w:rsidTr="008D1314">
        <w:trPr>
          <w:trHeight w:val="373"/>
        </w:trPr>
        <w:tc>
          <w:tcPr>
            <w:tcW w:w="85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b/>
                <w:bCs/>
                <w:sz w:val="24"/>
                <w:szCs w:val="24"/>
              </w:rPr>
            </w:pPr>
            <w:r w:rsidRPr="00D6441B">
              <w:rPr>
                <w:rFonts w:ascii="Times New Roman" w:hAnsi="Times New Roman"/>
                <w:b/>
                <w:bCs/>
                <w:sz w:val="24"/>
                <w:szCs w:val="24"/>
              </w:rPr>
              <w:t>GC Detektör (FID) Programı</w:t>
            </w:r>
          </w:p>
        </w:tc>
      </w:tr>
      <w:tr w:rsidR="001F5FA8" w:rsidRPr="00D6441B" w:rsidTr="008D1314">
        <w:trPr>
          <w:trHeight w:val="285"/>
        </w:trPr>
        <w:tc>
          <w:tcPr>
            <w:tcW w:w="3261" w:type="dxa"/>
            <w:tcBorders>
              <w:top w:val="nil"/>
              <w:left w:val="single" w:sz="4" w:space="0" w:color="auto"/>
              <w:bottom w:val="single" w:sz="4" w:space="0" w:color="auto"/>
              <w:right w:val="single" w:sz="8"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Heater</w:t>
            </w: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250</w:t>
            </w:r>
          </w:p>
        </w:tc>
        <w:tc>
          <w:tcPr>
            <w:tcW w:w="2976" w:type="dxa"/>
            <w:tcBorders>
              <w:top w:val="nil"/>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vertAlign w:val="superscript"/>
              </w:rPr>
              <w:t>0</w:t>
            </w:r>
            <w:r w:rsidRPr="00D6441B">
              <w:rPr>
                <w:rFonts w:ascii="Times New Roman" w:hAnsi="Times New Roman"/>
                <w:sz w:val="24"/>
                <w:szCs w:val="24"/>
              </w:rPr>
              <w:t>C</w:t>
            </w:r>
          </w:p>
        </w:tc>
      </w:tr>
      <w:tr w:rsidR="001F5FA8" w:rsidRPr="00D6441B" w:rsidTr="008D1314">
        <w:trPr>
          <w:trHeight w:val="315"/>
        </w:trPr>
        <w:tc>
          <w:tcPr>
            <w:tcW w:w="3261" w:type="dxa"/>
            <w:tcBorders>
              <w:top w:val="nil"/>
              <w:left w:val="single" w:sz="4" w:space="0" w:color="auto"/>
              <w:bottom w:val="single" w:sz="4" w:space="0" w:color="auto"/>
              <w:right w:val="single" w:sz="8"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H</w:t>
            </w:r>
            <w:r w:rsidRPr="00D6441B">
              <w:rPr>
                <w:rFonts w:ascii="Times New Roman" w:hAnsi="Times New Roman"/>
                <w:sz w:val="24"/>
                <w:szCs w:val="24"/>
                <w:vertAlign w:val="subscript"/>
              </w:rPr>
              <w:t>2</w:t>
            </w:r>
            <w:r w:rsidRPr="00D6441B">
              <w:rPr>
                <w:rFonts w:ascii="Times New Roman" w:hAnsi="Times New Roman"/>
                <w:sz w:val="24"/>
                <w:szCs w:val="24"/>
              </w:rPr>
              <w:t xml:space="preserve"> Flow</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30</w:t>
            </w:r>
          </w:p>
        </w:tc>
        <w:tc>
          <w:tcPr>
            <w:tcW w:w="2976" w:type="dxa"/>
            <w:tcBorders>
              <w:top w:val="nil"/>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ml/dak</w:t>
            </w:r>
          </w:p>
        </w:tc>
      </w:tr>
      <w:tr w:rsidR="001F5FA8" w:rsidRPr="00D6441B" w:rsidTr="008D1314">
        <w:trPr>
          <w:trHeight w:val="255"/>
        </w:trPr>
        <w:tc>
          <w:tcPr>
            <w:tcW w:w="3261" w:type="dxa"/>
            <w:tcBorders>
              <w:top w:val="nil"/>
              <w:left w:val="single" w:sz="4" w:space="0" w:color="auto"/>
              <w:bottom w:val="single" w:sz="4" w:space="0" w:color="auto"/>
              <w:right w:val="single" w:sz="8"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Air Flow</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350</w:t>
            </w:r>
          </w:p>
        </w:tc>
        <w:tc>
          <w:tcPr>
            <w:tcW w:w="2976" w:type="dxa"/>
            <w:tcBorders>
              <w:top w:val="nil"/>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ml/dak</w:t>
            </w:r>
          </w:p>
        </w:tc>
      </w:tr>
      <w:tr w:rsidR="001F5FA8" w:rsidRPr="00D6441B" w:rsidTr="008D1314">
        <w:trPr>
          <w:trHeight w:val="330"/>
        </w:trPr>
        <w:tc>
          <w:tcPr>
            <w:tcW w:w="3261" w:type="dxa"/>
            <w:tcBorders>
              <w:top w:val="nil"/>
              <w:left w:val="single" w:sz="4" w:space="0" w:color="auto"/>
              <w:bottom w:val="single" w:sz="4" w:space="0" w:color="auto"/>
              <w:right w:val="single" w:sz="8"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Make-up Flow (N</w:t>
            </w:r>
            <w:r w:rsidRPr="00D6441B">
              <w:rPr>
                <w:rFonts w:ascii="Times New Roman" w:hAnsi="Times New Roman"/>
                <w:sz w:val="24"/>
                <w:szCs w:val="24"/>
                <w:vertAlign w:val="subscript"/>
              </w:rPr>
              <w:t>2</w:t>
            </w:r>
            <w:r w:rsidRPr="00D6441B">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7</w:t>
            </w:r>
          </w:p>
        </w:tc>
        <w:tc>
          <w:tcPr>
            <w:tcW w:w="2976" w:type="dxa"/>
            <w:tcBorders>
              <w:top w:val="nil"/>
              <w:left w:val="single" w:sz="4" w:space="0" w:color="auto"/>
              <w:bottom w:val="single" w:sz="4" w:space="0" w:color="auto"/>
              <w:right w:val="single" w:sz="4" w:space="0" w:color="auto"/>
            </w:tcBorders>
            <w:shd w:val="clear" w:color="auto" w:fill="auto"/>
            <w:noWrap/>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ml/dak</w:t>
            </w:r>
          </w:p>
        </w:tc>
      </w:tr>
    </w:tbl>
    <w:p w:rsidR="00273EA0" w:rsidRDefault="00273EA0" w:rsidP="001F5FA8">
      <w:pPr>
        <w:spacing w:before="120" w:after="120" w:line="240" w:lineRule="auto"/>
        <w:jc w:val="both"/>
        <w:rPr>
          <w:rFonts w:ascii="Times New Roman" w:hAnsi="Times New Roman"/>
          <w:bCs/>
          <w:sz w:val="24"/>
          <w:szCs w:val="24"/>
        </w:rPr>
        <w:sectPr w:rsidR="00273EA0" w:rsidSect="00E230BE">
          <w:type w:val="continuous"/>
          <w:pgSz w:w="11906" w:h="16838"/>
          <w:pgMar w:top="1417" w:right="849" w:bottom="1417" w:left="1134" w:header="708" w:footer="340" w:gutter="0"/>
          <w:cols w:space="708"/>
          <w:docGrid w:linePitch="360"/>
        </w:sectPr>
      </w:pPr>
    </w:p>
    <w:p w:rsidR="001F5FA8" w:rsidRPr="00D6441B" w:rsidRDefault="001F5FA8" w:rsidP="001F5FA8">
      <w:pPr>
        <w:spacing w:before="120" w:after="120" w:line="240" w:lineRule="auto"/>
        <w:jc w:val="both"/>
        <w:rPr>
          <w:rFonts w:ascii="Times New Roman" w:hAnsi="Times New Roman"/>
          <w:bCs/>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3. SONUÇLAR VE DEĞERLENDİRME</w:t>
      </w:r>
    </w:p>
    <w:p w:rsidR="001F5FA8" w:rsidRPr="00D6441B" w:rsidRDefault="001F5FA8" w:rsidP="001F5FA8">
      <w:pPr>
        <w:tabs>
          <w:tab w:val="left" w:pos="3828"/>
        </w:tabs>
        <w:spacing w:before="120" w:after="120" w:line="240" w:lineRule="auto"/>
        <w:jc w:val="both"/>
        <w:rPr>
          <w:rFonts w:ascii="Times New Roman" w:hAnsi="Times New Roman"/>
          <w:sz w:val="24"/>
          <w:szCs w:val="24"/>
        </w:rPr>
      </w:pPr>
    </w:p>
    <w:p w:rsidR="00273EA0"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Nisan ve Haziran 2007 tarihlerinde Lot 5 ve Lot 7 alanlarından alınan numuneler, hazırlanan kalibrasyona ve daha önce açıklanan GC BTEX metoduna göre analiz edilmiştir. Bu </w:t>
      </w:r>
    </w:p>
    <w:p w:rsidR="00273EA0" w:rsidRDefault="00273EA0"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örneklemelerde elde edilen maksimum, minimum ve ortalama analiz sonuçları Tablo 3’te verilmiştir. Örneklemenin gerçekleştirildiği Nisan ve Haziran aylarını sıcaklık değeri 12-14 </w:t>
      </w:r>
      <w:r w:rsidRPr="00D6441B">
        <w:rPr>
          <w:rFonts w:ascii="Times New Roman" w:hAnsi="Times New Roman"/>
          <w:sz w:val="24"/>
          <w:szCs w:val="24"/>
          <w:vertAlign w:val="superscript"/>
        </w:rPr>
        <w:t>0</w:t>
      </w:r>
      <w:r w:rsidRPr="00D6441B">
        <w:rPr>
          <w:rFonts w:ascii="Times New Roman" w:hAnsi="Times New Roman"/>
          <w:sz w:val="24"/>
          <w:szCs w:val="24"/>
        </w:rPr>
        <w:t xml:space="preserve">C ve 27-28 </w:t>
      </w:r>
      <w:r w:rsidRPr="00D6441B">
        <w:rPr>
          <w:rFonts w:ascii="Times New Roman" w:hAnsi="Times New Roman"/>
          <w:sz w:val="24"/>
          <w:szCs w:val="24"/>
          <w:vertAlign w:val="superscript"/>
        </w:rPr>
        <w:t>0</w:t>
      </w:r>
      <w:r w:rsidRPr="00D6441B">
        <w:rPr>
          <w:rFonts w:ascii="Times New Roman" w:hAnsi="Times New Roman"/>
          <w:sz w:val="24"/>
          <w:szCs w:val="24"/>
        </w:rPr>
        <w:t>C olarak ölçülmüştür.</w:t>
      </w:r>
    </w:p>
    <w:p w:rsidR="00273EA0" w:rsidRDefault="00273EA0" w:rsidP="001F5FA8">
      <w:pPr>
        <w:tabs>
          <w:tab w:val="left" w:pos="3828"/>
        </w:tabs>
        <w:spacing w:before="120" w:after="120" w:line="240" w:lineRule="auto"/>
        <w:jc w:val="both"/>
        <w:rPr>
          <w:rFonts w:ascii="Times New Roman" w:hAnsi="Times New Roman"/>
          <w:b/>
          <w:sz w:val="24"/>
          <w:szCs w:val="24"/>
        </w:rPr>
        <w:sectPr w:rsidR="00273EA0" w:rsidSect="008D1314">
          <w:type w:val="continuous"/>
          <w:pgSz w:w="11906" w:h="16838"/>
          <w:pgMar w:top="1417" w:right="849" w:bottom="1417" w:left="1134" w:header="708" w:footer="708" w:gutter="0"/>
          <w:cols w:num="2" w:space="708"/>
          <w:docGrid w:linePitch="360"/>
        </w:sectPr>
      </w:pPr>
      <w:bookmarkStart w:id="20" w:name="_Toc202798861"/>
    </w:p>
    <w:p w:rsidR="00273EA0" w:rsidRDefault="00273EA0" w:rsidP="001F5FA8">
      <w:pPr>
        <w:tabs>
          <w:tab w:val="left" w:pos="3828"/>
        </w:tabs>
        <w:spacing w:before="120" w:after="120" w:line="240" w:lineRule="auto"/>
        <w:jc w:val="both"/>
        <w:rPr>
          <w:rFonts w:ascii="Times New Roman" w:hAnsi="Times New Roman"/>
          <w:b/>
          <w:sz w:val="24"/>
          <w:szCs w:val="24"/>
        </w:rPr>
      </w:pPr>
    </w:p>
    <w:p w:rsidR="001F5FA8" w:rsidRPr="00D6441B" w:rsidRDefault="001F5FA8" w:rsidP="001F5FA8">
      <w:pPr>
        <w:tabs>
          <w:tab w:val="left" w:pos="3828"/>
        </w:tabs>
        <w:spacing w:before="120" w:after="120" w:line="240" w:lineRule="auto"/>
        <w:jc w:val="both"/>
        <w:rPr>
          <w:rFonts w:ascii="Times New Roman" w:hAnsi="Times New Roman"/>
          <w:sz w:val="24"/>
          <w:szCs w:val="24"/>
        </w:rPr>
      </w:pPr>
      <w:r w:rsidRPr="00D6441B">
        <w:rPr>
          <w:rFonts w:ascii="Times New Roman" w:hAnsi="Times New Roman"/>
          <w:b/>
          <w:sz w:val="24"/>
          <w:szCs w:val="24"/>
        </w:rPr>
        <w:t>Tablo 3.</w:t>
      </w:r>
      <w:r w:rsidRPr="00D6441B">
        <w:rPr>
          <w:rFonts w:ascii="Times New Roman" w:hAnsi="Times New Roman"/>
          <w:sz w:val="24"/>
          <w:szCs w:val="24"/>
        </w:rPr>
        <w:t xml:space="preserve"> Nisan ve Haziran 2007 tarihlerinde yapılan ilk örneklemeye ait BTEX değerleri.</w:t>
      </w:r>
      <w:bookmarkEnd w:id="20"/>
    </w:p>
    <w:tbl>
      <w:tblPr>
        <w:tblW w:w="96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346"/>
        <w:gridCol w:w="1346"/>
        <w:gridCol w:w="1275"/>
        <w:gridCol w:w="1419"/>
        <w:gridCol w:w="1273"/>
        <w:gridCol w:w="1435"/>
      </w:tblGrid>
      <w:tr w:rsidR="001F5FA8" w:rsidRPr="004F708D" w:rsidTr="008D1314">
        <w:trPr>
          <w:trHeight w:val="480"/>
        </w:trPr>
        <w:tc>
          <w:tcPr>
            <w:tcW w:w="1560" w:type="dxa"/>
            <w:vMerge w:val="restart"/>
            <w:shd w:val="clear" w:color="auto" w:fill="auto"/>
            <w:noWrap/>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bookmarkStart w:id="21" w:name="OLE_LINK14"/>
            <w:bookmarkStart w:id="22" w:name="OLE_LINK15"/>
            <w:r w:rsidRPr="004F708D">
              <w:rPr>
                <w:rFonts w:ascii="Times New Roman" w:hAnsi="Times New Roman"/>
                <w:b/>
                <w:bCs/>
                <w:sz w:val="20"/>
                <w:szCs w:val="24"/>
              </w:rPr>
              <w:t>BTEX</w:t>
            </w:r>
          </w:p>
        </w:tc>
        <w:tc>
          <w:tcPr>
            <w:tcW w:w="2692" w:type="dxa"/>
            <w:gridSpan w:val="2"/>
            <w:shd w:val="clear" w:color="auto" w:fill="auto"/>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r w:rsidRPr="004F708D">
              <w:rPr>
                <w:rFonts w:ascii="Times New Roman" w:hAnsi="Times New Roman"/>
                <w:b/>
                <w:bCs/>
                <w:sz w:val="20"/>
                <w:szCs w:val="24"/>
              </w:rPr>
              <w:t>Minimum, (µg/m</w:t>
            </w:r>
            <w:r w:rsidRPr="004F708D">
              <w:rPr>
                <w:rFonts w:ascii="Times New Roman" w:hAnsi="Times New Roman"/>
                <w:b/>
                <w:bCs/>
                <w:sz w:val="20"/>
                <w:szCs w:val="24"/>
                <w:vertAlign w:val="superscript"/>
              </w:rPr>
              <w:t>3</w:t>
            </w:r>
            <w:r w:rsidRPr="004F708D">
              <w:rPr>
                <w:rFonts w:ascii="Times New Roman" w:hAnsi="Times New Roman"/>
                <w:b/>
                <w:bCs/>
                <w:sz w:val="20"/>
                <w:szCs w:val="24"/>
              </w:rPr>
              <w:t>)</w:t>
            </w:r>
          </w:p>
        </w:tc>
        <w:tc>
          <w:tcPr>
            <w:tcW w:w="2694" w:type="dxa"/>
            <w:gridSpan w:val="2"/>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r w:rsidRPr="004F708D">
              <w:rPr>
                <w:rFonts w:ascii="Times New Roman" w:hAnsi="Times New Roman"/>
                <w:b/>
                <w:bCs/>
                <w:sz w:val="20"/>
                <w:szCs w:val="24"/>
              </w:rPr>
              <w:t>Maksimum, (µg/m</w:t>
            </w:r>
            <w:r w:rsidRPr="004F708D">
              <w:rPr>
                <w:rFonts w:ascii="Times New Roman" w:hAnsi="Times New Roman"/>
                <w:b/>
                <w:bCs/>
                <w:sz w:val="20"/>
                <w:szCs w:val="24"/>
                <w:vertAlign w:val="superscript"/>
              </w:rPr>
              <w:t>3</w:t>
            </w:r>
            <w:r w:rsidRPr="004F708D">
              <w:rPr>
                <w:rFonts w:ascii="Times New Roman" w:hAnsi="Times New Roman"/>
                <w:b/>
                <w:bCs/>
                <w:sz w:val="20"/>
                <w:szCs w:val="24"/>
              </w:rPr>
              <w:t>)</w:t>
            </w:r>
          </w:p>
        </w:tc>
        <w:tc>
          <w:tcPr>
            <w:tcW w:w="2708" w:type="dxa"/>
            <w:gridSpan w:val="2"/>
            <w:shd w:val="clear" w:color="auto" w:fill="FFFFFF"/>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r w:rsidRPr="004F708D">
              <w:rPr>
                <w:rFonts w:ascii="Times New Roman" w:hAnsi="Times New Roman"/>
                <w:b/>
                <w:bCs/>
                <w:sz w:val="20"/>
                <w:szCs w:val="24"/>
              </w:rPr>
              <w:t>Geometrik Ortalama, (µg/m</w:t>
            </w:r>
            <w:r w:rsidRPr="004F708D">
              <w:rPr>
                <w:rFonts w:ascii="Times New Roman" w:hAnsi="Times New Roman"/>
                <w:b/>
                <w:bCs/>
                <w:sz w:val="20"/>
                <w:szCs w:val="24"/>
                <w:vertAlign w:val="superscript"/>
              </w:rPr>
              <w:t>3</w:t>
            </w:r>
            <w:r w:rsidRPr="004F708D">
              <w:rPr>
                <w:rFonts w:ascii="Times New Roman" w:hAnsi="Times New Roman"/>
                <w:b/>
                <w:bCs/>
                <w:sz w:val="20"/>
                <w:szCs w:val="24"/>
              </w:rPr>
              <w:t>)</w:t>
            </w:r>
          </w:p>
        </w:tc>
      </w:tr>
      <w:tr w:rsidR="001F5FA8" w:rsidRPr="004F708D" w:rsidTr="008D1314">
        <w:trPr>
          <w:trHeight w:val="350"/>
        </w:trPr>
        <w:tc>
          <w:tcPr>
            <w:tcW w:w="1560" w:type="dxa"/>
            <w:vMerge/>
            <w:shd w:val="clear" w:color="auto" w:fill="auto"/>
            <w:noWrap/>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p>
        </w:tc>
        <w:tc>
          <w:tcPr>
            <w:tcW w:w="1346" w:type="dxa"/>
            <w:shd w:val="clear" w:color="auto" w:fill="auto"/>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r w:rsidRPr="004F708D">
              <w:rPr>
                <w:rFonts w:ascii="Times New Roman" w:hAnsi="Times New Roman"/>
                <w:b/>
                <w:bCs/>
                <w:sz w:val="20"/>
                <w:szCs w:val="24"/>
              </w:rPr>
              <w:t>1.Örnekleme</w:t>
            </w:r>
          </w:p>
        </w:tc>
        <w:tc>
          <w:tcPr>
            <w:tcW w:w="1346" w:type="dxa"/>
            <w:shd w:val="clear" w:color="auto" w:fill="auto"/>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r w:rsidRPr="004F708D">
              <w:rPr>
                <w:rFonts w:ascii="Times New Roman" w:hAnsi="Times New Roman"/>
                <w:b/>
                <w:bCs/>
                <w:sz w:val="20"/>
                <w:szCs w:val="24"/>
              </w:rPr>
              <w:t>2.Örnekleme</w:t>
            </w:r>
          </w:p>
        </w:tc>
        <w:tc>
          <w:tcPr>
            <w:tcW w:w="1275" w:type="dxa"/>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r w:rsidRPr="004F708D">
              <w:rPr>
                <w:rFonts w:ascii="Times New Roman" w:hAnsi="Times New Roman"/>
                <w:b/>
                <w:bCs/>
                <w:sz w:val="20"/>
                <w:szCs w:val="24"/>
              </w:rPr>
              <w:t>1.Örnekleme</w:t>
            </w:r>
          </w:p>
        </w:tc>
        <w:tc>
          <w:tcPr>
            <w:tcW w:w="1419" w:type="dxa"/>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r w:rsidRPr="004F708D">
              <w:rPr>
                <w:rFonts w:ascii="Times New Roman" w:hAnsi="Times New Roman"/>
                <w:b/>
                <w:bCs/>
                <w:sz w:val="20"/>
                <w:szCs w:val="24"/>
              </w:rPr>
              <w:t>2.Örnekleme</w:t>
            </w:r>
          </w:p>
        </w:tc>
        <w:tc>
          <w:tcPr>
            <w:tcW w:w="1273" w:type="dxa"/>
            <w:shd w:val="clear" w:color="auto" w:fill="FFFFFF"/>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r w:rsidRPr="004F708D">
              <w:rPr>
                <w:rFonts w:ascii="Times New Roman" w:hAnsi="Times New Roman"/>
                <w:b/>
                <w:bCs/>
                <w:sz w:val="20"/>
                <w:szCs w:val="24"/>
              </w:rPr>
              <w:t>1.Örnekleme</w:t>
            </w:r>
          </w:p>
        </w:tc>
        <w:tc>
          <w:tcPr>
            <w:tcW w:w="1435" w:type="dxa"/>
            <w:shd w:val="clear" w:color="auto" w:fill="FFFFFF"/>
            <w:vAlign w:val="center"/>
          </w:tcPr>
          <w:p w:rsidR="001F5FA8" w:rsidRPr="004F708D" w:rsidRDefault="001F5FA8" w:rsidP="008D1314">
            <w:pPr>
              <w:tabs>
                <w:tab w:val="left" w:pos="3828"/>
              </w:tabs>
              <w:spacing w:after="0" w:line="240" w:lineRule="auto"/>
              <w:jc w:val="center"/>
              <w:rPr>
                <w:rFonts w:ascii="Times New Roman" w:hAnsi="Times New Roman"/>
                <w:b/>
                <w:bCs/>
                <w:sz w:val="20"/>
                <w:szCs w:val="24"/>
              </w:rPr>
            </w:pPr>
            <w:r w:rsidRPr="004F708D">
              <w:rPr>
                <w:rFonts w:ascii="Times New Roman" w:hAnsi="Times New Roman"/>
                <w:b/>
                <w:bCs/>
                <w:sz w:val="20"/>
                <w:szCs w:val="24"/>
              </w:rPr>
              <w:t>2.Örnekleme</w:t>
            </w:r>
          </w:p>
        </w:tc>
      </w:tr>
      <w:tr w:rsidR="001F5FA8" w:rsidRPr="004F708D" w:rsidTr="008D1314">
        <w:trPr>
          <w:trHeight w:val="270"/>
        </w:trPr>
        <w:tc>
          <w:tcPr>
            <w:tcW w:w="1560" w:type="dxa"/>
            <w:shd w:val="clear" w:color="auto" w:fill="auto"/>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bCs/>
                <w:sz w:val="20"/>
                <w:szCs w:val="24"/>
              </w:rPr>
              <w:t>Benzen</w:t>
            </w:r>
          </w:p>
        </w:tc>
        <w:tc>
          <w:tcPr>
            <w:tcW w:w="1346" w:type="dxa"/>
            <w:shd w:val="clear" w:color="auto" w:fill="auto"/>
            <w:noWrap/>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60.4</w:t>
            </w:r>
          </w:p>
        </w:tc>
        <w:tc>
          <w:tcPr>
            <w:tcW w:w="1346" w:type="dxa"/>
            <w:shd w:val="clear" w:color="auto" w:fill="auto"/>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5.6</w:t>
            </w:r>
          </w:p>
        </w:tc>
        <w:tc>
          <w:tcPr>
            <w:tcW w:w="1275" w:type="dxa"/>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771.5</w:t>
            </w:r>
          </w:p>
        </w:tc>
        <w:tc>
          <w:tcPr>
            <w:tcW w:w="1419" w:type="dxa"/>
            <w:vAlign w:val="center"/>
          </w:tcPr>
          <w:p w:rsidR="001F5FA8" w:rsidRPr="004F708D" w:rsidRDefault="001F5FA8" w:rsidP="008D1314">
            <w:pPr>
              <w:pStyle w:val="BodyText"/>
              <w:spacing w:after="0" w:line="240" w:lineRule="auto"/>
              <w:jc w:val="center"/>
              <w:rPr>
                <w:rFonts w:ascii="Times New Roman" w:hAnsi="Times New Roman"/>
                <w:b/>
                <w:sz w:val="20"/>
                <w:szCs w:val="24"/>
                <w:lang w:eastAsia="tr-TR"/>
              </w:rPr>
            </w:pPr>
            <w:r w:rsidRPr="004F708D">
              <w:rPr>
                <w:rFonts w:ascii="Times New Roman" w:hAnsi="Times New Roman"/>
                <w:b/>
                <w:sz w:val="20"/>
                <w:szCs w:val="24"/>
                <w:lang w:eastAsia="tr-TR"/>
              </w:rPr>
              <w:t>3137.8</w:t>
            </w:r>
          </w:p>
        </w:tc>
        <w:tc>
          <w:tcPr>
            <w:tcW w:w="1273" w:type="dxa"/>
            <w:shd w:val="clear" w:color="auto" w:fill="FFFFFF"/>
            <w:noWrap/>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336.7</w:t>
            </w:r>
          </w:p>
        </w:tc>
        <w:tc>
          <w:tcPr>
            <w:tcW w:w="1435" w:type="dxa"/>
            <w:shd w:val="clear" w:color="auto" w:fill="FFFFFF"/>
            <w:vAlign w:val="center"/>
          </w:tcPr>
          <w:p w:rsidR="001F5FA8" w:rsidRPr="004F708D" w:rsidRDefault="001F5FA8" w:rsidP="008D1314">
            <w:pPr>
              <w:pStyle w:val="BodyText"/>
              <w:spacing w:after="0" w:line="240" w:lineRule="auto"/>
              <w:jc w:val="center"/>
              <w:rPr>
                <w:rFonts w:ascii="Times New Roman" w:hAnsi="Times New Roman"/>
                <w:b/>
                <w:sz w:val="20"/>
                <w:szCs w:val="24"/>
                <w:lang w:eastAsia="tr-TR"/>
              </w:rPr>
            </w:pPr>
            <w:r w:rsidRPr="004F708D">
              <w:rPr>
                <w:rFonts w:ascii="Times New Roman" w:hAnsi="Times New Roman"/>
                <w:b/>
                <w:sz w:val="20"/>
                <w:szCs w:val="24"/>
                <w:lang w:eastAsia="tr-TR"/>
              </w:rPr>
              <w:t>401.0</w:t>
            </w:r>
          </w:p>
        </w:tc>
      </w:tr>
      <w:tr w:rsidR="001F5FA8" w:rsidRPr="004F708D" w:rsidTr="008D1314">
        <w:trPr>
          <w:trHeight w:val="270"/>
        </w:trPr>
        <w:tc>
          <w:tcPr>
            <w:tcW w:w="1560" w:type="dxa"/>
            <w:shd w:val="clear" w:color="auto" w:fill="auto"/>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bCs/>
                <w:sz w:val="20"/>
                <w:szCs w:val="24"/>
              </w:rPr>
              <w:t>Toluen</w:t>
            </w:r>
          </w:p>
        </w:tc>
        <w:tc>
          <w:tcPr>
            <w:tcW w:w="1346" w:type="dxa"/>
            <w:shd w:val="clear" w:color="auto" w:fill="auto"/>
            <w:noWrap/>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276.6</w:t>
            </w:r>
          </w:p>
        </w:tc>
        <w:tc>
          <w:tcPr>
            <w:tcW w:w="1346" w:type="dxa"/>
            <w:shd w:val="clear" w:color="auto" w:fill="auto"/>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23.4</w:t>
            </w:r>
          </w:p>
        </w:tc>
        <w:tc>
          <w:tcPr>
            <w:tcW w:w="1275" w:type="dxa"/>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7834.3</w:t>
            </w:r>
          </w:p>
        </w:tc>
        <w:tc>
          <w:tcPr>
            <w:tcW w:w="1419" w:type="dxa"/>
            <w:vAlign w:val="center"/>
          </w:tcPr>
          <w:p w:rsidR="001F5FA8" w:rsidRPr="004F708D" w:rsidRDefault="001F5FA8" w:rsidP="008D1314">
            <w:pPr>
              <w:pStyle w:val="BodyText"/>
              <w:spacing w:after="0" w:line="240" w:lineRule="auto"/>
              <w:jc w:val="center"/>
              <w:rPr>
                <w:rFonts w:ascii="Times New Roman" w:hAnsi="Times New Roman"/>
                <w:b/>
                <w:sz w:val="20"/>
                <w:szCs w:val="24"/>
                <w:lang w:eastAsia="tr-TR"/>
              </w:rPr>
            </w:pPr>
            <w:r w:rsidRPr="004F708D">
              <w:rPr>
                <w:rFonts w:ascii="Times New Roman" w:hAnsi="Times New Roman"/>
                <w:b/>
                <w:sz w:val="20"/>
                <w:szCs w:val="24"/>
                <w:lang w:eastAsia="tr-TR"/>
              </w:rPr>
              <w:t>6064.7</w:t>
            </w:r>
          </w:p>
        </w:tc>
        <w:tc>
          <w:tcPr>
            <w:tcW w:w="1273" w:type="dxa"/>
            <w:shd w:val="clear" w:color="auto" w:fill="FFFFFF"/>
            <w:noWrap/>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3472.7</w:t>
            </w:r>
          </w:p>
        </w:tc>
        <w:tc>
          <w:tcPr>
            <w:tcW w:w="1435" w:type="dxa"/>
            <w:shd w:val="clear" w:color="auto" w:fill="FFFFFF"/>
            <w:vAlign w:val="center"/>
          </w:tcPr>
          <w:p w:rsidR="001F5FA8" w:rsidRPr="004F708D" w:rsidRDefault="001F5FA8" w:rsidP="008D1314">
            <w:pPr>
              <w:pStyle w:val="BodyText"/>
              <w:spacing w:after="0" w:line="240" w:lineRule="auto"/>
              <w:jc w:val="center"/>
              <w:rPr>
                <w:rFonts w:ascii="Times New Roman" w:hAnsi="Times New Roman"/>
                <w:b/>
                <w:sz w:val="20"/>
                <w:szCs w:val="24"/>
                <w:lang w:eastAsia="tr-TR"/>
              </w:rPr>
            </w:pPr>
            <w:r w:rsidRPr="004F708D">
              <w:rPr>
                <w:rFonts w:ascii="Times New Roman" w:hAnsi="Times New Roman"/>
                <w:b/>
                <w:sz w:val="20"/>
                <w:szCs w:val="24"/>
                <w:lang w:eastAsia="tr-TR"/>
              </w:rPr>
              <w:t>1132.7</w:t>
            </w:r>
          </w:p>
        </w:tc>
      </w:tr>
      <w:tr w:rsidR="001F5FA8" w:rsidRPr="004F708D" w:rsidTr="008D1314">
        <w:trPr>
          <w:trHeight w:val="270"/>
        </w:trPr>
        <w:tc>
          <w:tcPr>
            <w:tcW w:w="1560" w:type="dxa"/>
            <w:shd w:val="clear" w:color="auto" w:fill="auto"/>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bCs/>
                <w:sz w:val="20"/>
                <w:szCs w:val="24"/>
              </w:rPr>
              <w:t>Etilbenzen</w:t>
            </w:r>
          </w:p>
        </w:tc>
        <w:tc>
          <w:tcPr>
            <w:tcW w:w="1346" w:type="dxa"/>
            <w:shd w:val="clear" w:color="auto" w:fill="auto"/>
            <w:noWrap/>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36.8</w:t>
            </w:r>
          </w:p>
        </w:tc>
        <w:tc>
          <w:tcPr>
            <w:tcW w:w="1346" w:type="dxa"/>
            <w:shd w:val="clear" w:color="auto" w:fill="auto"/>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4.9</w:t>
            </w:r>
          </w:p>
        </w:tc>
        <w:tc>
          <w:tcPr>
            <w:tcW w:w="1275" w:type="dxa"/>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3717.1</w:t>
            </w:r>
          </w:p>
        </w:tc>
        <w:tc>
          <w:tcPr>
            <w:tcW w:w="1419" w:type="dxa"/>
            <w:vAlign w:val="center"/>
          </w:tcPr>
          <w:p w:rsidR="001F5FA8" w:rsidRPr="004F708D" w:rsidRDefault="001F5FA8" w:rsidP="008D1314">
            <w:pPr>
              <w:pStyle w:val="BodyText"/>
              <w:spacing w:after="0" w:line="240" w:lineRule="auto"/>
              <w:jc w:val="center"/>
              <w:rPr>
                <w:rFonts w:ascii="Times New Roman" w:hAnsi="Times New Roman"/>
                <w:b/>
                <w:sz w:val="20"/>
                <w:szCs w:val="24"/>
                <w:lang w:eastAsia="tr-TR"/>
              </w:rPr>
            </w:pPr>
            <w:r w:rsidRPr="004F708D">
              <w:rPr>
                <w:rFonts w:ascii="Times New Roman" w:hAnsi="Times New Roman"/>
                <w:b/>
                <w:sz w:val="20"/>
                <w:szCs w:val="24"/>
                <w:lang w:eastAsia="tr-TR"/>
              </w:rPr>
              <w:t>1924.5</w:t>
            </w:r>
          </w:p>
        </w:tc>
        <w:tc>
          <w:tcPr>
            <w:tcW w:w="1273" w:type="dxa"/>
            <w:shd w:val="clear" w:color="auto" w:fill="FFFFFF"/>
            <w:noWrap/>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1034.7</w:t>
            </w:r>
          </w:p>
        </w:tc>
        <w:tc>
          <w:tcPr>
            <w:tcW w:w="1435" w:type="dxa"/>
            <w:shd w:val="clear" w:color="auto" w:fill="FFFFFF"/>
            <w:vAlign w:val="center"/>
          </w:tcPr>
          <w:p w:rsidR="001F5FA8" w:rsidRPr="004F708D" w:rsidRDefault="001F5FA8" w:rsidP="008D1314">
            <w:pPr>
              <w:pStyle w:val="BodyText"/>
              <w:spacing w:after="0" w:line="240" w:lineRule="auto"/>
              <w:jc w:val="center"/>
              <w:rPr>
                <w:rFonts w:ascii="Times New Roman" w:hAnsi="Times New Roman"/>
                <w:b/>
                <w:sz w:val="20"/>
                <w:szCs w:val="24"/>
                <w:lang w:eastAsia="tr-TR"/>
              </w:rPr>
            </w:pPr>
            <w:r w:rsidRPr="004F708D">
              <w:rPr>
                <w:rFonts w:ascii="Times New Roman" w:hAnsi="Times New Roman"/>
                <w:b/>
                <w:sz w:val="20"/>
                <w:szCs w:val="24"/>
                <w:lang w:eastAsia="tr-TR"/>
              </w:rPr>
              <w:t>346.2</w:t>
            </w:r>
          </w:p>
        </w:tc>
      </w:tr>
      <w:tr w:rsidR="001F5FA8" w:rsidRPr="004F708D" w:rsidTr="008D1314">
        <w:trPr>
          <w:trHeight w:val="270"/>
        </w:trPr>
        <w:tc>
          <w:tcPr>
            <w:tcW w:w="1560" w:type="dxa"/>
            <w:shd w:val="clear" w:color="auto" w:fill="auto"/>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bCs/>
                <w:sz w:val="20"/>
                <w:szCs w:val="24"/>
              </w:rPr>
              <w:t>mp-Ksilen</w:t>
            </w:r>
          </w:p>
        </w:tc>
        <w:tc>
          <w:tcPr>
            <w:tcW w:w="1346" w:type="dxa"/>
            <w:shd w:val="clear" w:color="auto" w:fill="auto"/>
            <w:noWrap/>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14.8</w:t>
            </w:r>
          </w:p>
        </w:tc>
        <w:tc>
          <w:tcPr>
            <w:tcW w:w="1346" w:type="dxa"/>
            <w:shd w:val="clear" w:color="auto" w:fill="auto"/>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5.3</w:t>
            </w:r>
          </w:p>
        </w:tc>
        <w:tc>
          <w:tcPr>
            <w:tcW w:w="1275" w:type="dxa"/>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2942.3</w:t>
            </w:r>
          </w:p>
        </w:tc>
        <w:tc>
          <w:tcPr>
            <w:tcW w:w="1419" w:type="dxa"/>
            <w:vAlign w:val="center"/>
          </w:tcPr>
          <w:p w:rsidR="001F5FA8" w:rsidRPr="004F708D" w:rsidRDefault="001F5FA8" w:rsidP="008D1314">
            <w:pPr>
              <w:pStyle w:val="BodyText"/>
              <w:spacing w:after="0" w:line="240" w:lineRule="auto"/>
              <w:jc w:val="center"/>
              <w:rPr>
                <w:rFonts w:ascii="Times New Roman" w:hAnsi="Times New Roman"/>
                <w:b/>
                <w:sz w:val="20"/>
                <w:szCs w:val="24"/>
                <w:lang w:eastAsia="tr-TR"/>
              </w:rPr>
            </w:pPr>
            <w:r w:rsidRPr="004F708D">
              <w:rPr>
                <w:rFonts w:ascii="Times New Roman" w:hAnsi="Times New Roman"/>
                <w:b/>
                <w:sz w:val="20"/>
                <w:szCs w:val="24"/>
                <w:lang w:eastAsia="tr-TR"/>
              </w:rPr>
              <w:t>4013.5</w:t>
            </w:r>
          </w:p>
        </w:tc>
        <w:tc>
          <w:tcPr>
            <w:tcW w:w="1273" w:type="dxa"/>
            <w:shd w:val="clear" w:color="auto" w:fill="FFFFFF"/>
            <w:noWrap/>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931.1</w:t>
            </w:r>
          </w:p>
        </w:tc>
        <w:tc>
          <w:tcPr>
            <w:tcW w:w="1435" w:type="dxa"/>
            <w:shd w:val="clear" w:color="auto" w:fill="FFFFFF"/>
            <w:vAlign w:val="center"/>
          </w:tcPr>
          <w:p w:rsidR="001F5FA8" w:rsidRPr="004F708D" w:rsidRDefault="001F5FA8" w:rsidP="008D1314">
            <w:pPr>
              <w:pStyle w:val="BodyText"/>
              <w:spacing w:after="0" w:line="240" w:lineRule="auto"/>
              <w:jc w:val="center"/>
              <w:rPr>
                <w:rFonts w:ascii="Times New Roman" w:hAnsi="Times New Roman"/>
                <w:b/>
                <w:sz w:val="20"/>
                <w:szCs w:val="24"/>
                <w:lang w:eastAsia="tr-TR"/>
              </w:rPr>
            </w:pPr>
            <w:r w:rsidRPr="004F708D">
              <w:rPr>
                <w:rFonts w:ascii="Times New Roman" w:hAnsi="Times New Roman"/>
                <w:b/>
                <w:sz w:val="20"/>
                <w:szCs w:val="24"/>
                <w:lang w:eastAsia="tr-TR"/>
              </w:rPr>
              <w:t>574.8</w:t>
            </w:r>
          </w:p>
        </w:tc>
      </w:tr>
      <w:tr w:rsidR="001F5FA8" w:rsidRPr="004F708D" w:rsidTr="008D1314">
        <w:trPr>
          <w:trHeight w:val="270"/>
        </w:trPr>
        <w:tc>
          <w:tcPr>
            <w:tcW w:w="1560" w:type="dxa"/>
            <w:shd w:val="clear" w:color="auto" w:fill="auto"/>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bCs/>
                <w:sz w:val="20"/>
                <w:szCs w:val="24"/>
              </w:rPr>
              <w:t>o-Ksilen</w:t>
            </w:r>
          </w:p>
        </w:tc>
        <w:tc>
          <w:tcPr>
            <w:tcW w:w="1346" w:type="dxa"/>
            <w:shd w:val="clear" w:color="auto" w:fill="auto"/>
            <w:noWrap/>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9.6</w:t>
            </w:r>
          </w:p>
        </w:tc>
        <w:tc>
          <w:tcPr>
            <w:tcW w:w="1346" w:type="dxa"/>
            <w:shd w:val="clear" w:color="auto" w:fill="auto"/>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2.6</w:t>
            </w:r>
          </w:p>
        </w:tc>
        <w:tc>
          <w:tcPr>
            <w:tcW w:w="1275" w:type="dxa"/>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1242.4</w:t>
            </w:r>
          </w:p>
        </w:tc>
        <w:tc>
          <w:tcPr>
            <w:tcW w:w="1419" w:type="dxa"/>
            <w:vAlign w:val="center"/>
          </w:tcPr>
          <w:p w:rsidR="001F5FA8" w:rsidRPr="004F708D" w:rsidRDefault="001F5FA8" w:rsidP="008D1314">
            <w:pPr>
              <w:pStyle w:val="BodyText"/>
              <w:spacing w:after="0" w:line="240" w:lineRule="auto"/>
              <w:jc w:val="center"/>
              <w:rPr>
                <w:rFonts w:ascii="Times New Roman" w:hAnsi="Times New Roman"/>
                <w:b/>
                <w:sz w:val="20"/>
                <w:szCs w:val="24"/>
                <w:lang w:eastAsia="tr-TR"/>
              </w:rPr>
            </w:pPr>
            <w:r w:rsidRPr="004F708D">
              <w:rPr>
                <w:rFonts w:ascii="Times New Roman" w:hAnsi="Times New Roman"/>
                <w:b/>
                <w:sz w:val="20"/>
                <w:szCs w:val="24"/>
                <w:lang w:eastAsia="tr-TR"/>
              </w:rPr>
              <w:t>16521.0</w:t>
            </w:r>
          </w:p>
        </w:tc>
        <w:tc>
          <w:tcPr>
            <w:tcW w:w="1273" w:type="dxa"/>
            <w:shd w:val="clear" w:color="auto" w:fill="FFFFFF"/>
            <w:noWrap/>
            <w:vAlign w:val="center"/>
          </w:tcPr>
          <w:p w:rsidR="001F5FA8" w:rsidRPr="004F708D" w:rsidRDefault="001F5FA8" w:rsidP="008D1314">
            <w:pPr>
              <w:tabs>
                <w:tab w:val="left" w:pos="3828"/>
              </w:tabs>
              <w:spacing w:after="0" w:line="240" w:lineRule="auto"/>
              <w:jc w:val="center"/>
              <w:rPr>
                <w:rFonts w:ascii="Times New Roman" w:hAnsi="Times New Roman"/>
                <w:sz w:val="20"/>
                <w:szCs w:val="24"/>
              </w:rPr>
            </w:pPr>
            <w:r w:rsidRPr="004F708D">
              <w:rPr>
                <w:rFonts w:ascii="Times New Roman" w:hAnsi="Times New Roman"/>
                <w:sz w:val="20"/>
                <w:szCs w:val="24"/>
              </w:rPr>
              <w:t>415.7</w:t>
            </w:r>
          </w:p>
        </w:tc>
        <w:tc>
          <w:tcPr>
            <w:tcW w:w="1435" w:type="dxa"/>
            <w:shd w:val="clear" w:color="auto" w:fill="FFFFFF"/>
            <w:vAlign w:val="center"/>
          </w:tcPr>
          <w:p w:rsidR="001F5FA8" w:rsidRPr="004F708D" w:rsidRDefault="001F5FA8" w:rsidP="008D1314">
            <w:pPr>
              <w:pStyle w:val="BodyText"/>
              <w:spacing w:after="0" w:line="240" w:lineRule="auto"/>
              <w:jc w:val="center"/>
              <w:rPr>
                <w:rFonts w:ascii="Times New Roman" w:hAnsi="Times New Roman"/>
                <w:b/>
                <w:sz w:val="20"/>
                <w:szCs w:val="24"/>
                <w:lang w:eastAsia="tr-TR"/>
              </w:rPr>
            </w:pPr>
            <w:r w:rsidRPr="004F708D">
              <w:rPr>
                <w:rFonts w:ascii="Times New Roman" w:hAnsi="Times New Roman"/>
                <w:b/>
                <w:sz w:val="20"/>
                <w:szCs w:val="24"/>
                <w:lang w:eastAsia="tr-TR"/>
              </w:rPr>
              <w:t>1897.0</w:t>
            </w:r>
          </w:p>
        </w:tc>
      </w:tr>
      <w:bookmarkEnd w:id="21"/>
      <w:bookmarkEnd w:id="22"/>
    </w:tbl>
    <w:p w:rsidR="00273EA0" w:rsidRDefault="00273EA0" w:rsidP="001F5FA8">
      <w:pPr>
        <w:tabs>
          <w:tab w:val="left" w:pos="3828"/>
        </w:tabs>
        <w:spacing w:before="120" w:after="120" w:line="240" w:lineRule="auto"/>
        <w:jc w:val="both"/>
        <w:rPr>
          <w:rFonts w:ascii="Times New Roman" w:hAnsi="Times New Roman"/>
          <w:sz w:val="24"/>
          <w:szCs w:val="24"/>
        </w:rPr>
        <w:sectPr w:rsidR="00273EA0" w:rsidSect="00273EA0">
          <w:type w:val="continuous"/>
          <w:pgSz w:w="11906" w:h="16838"/>
          <w:pgMar w:top="1417" w:right="849" w:bottom="1417" w:left="1134" w:header="708" w:footer="708" w:gutter="0"/>
          <w:cols w:space="708"/>
          <w:docGrid w:linePitch="360"/>
        </w:sectPr>
      </w:pPr>
    </w:p>
    <w:p w:rsidR="00273EA0" w:rsidRDefault="00273EA0" w:rsidP="001F5FA8">
      <w:pPr>
        <w:spacing w:before="120" w:after="120" w:line="240" w:lineRule="auto"/>
        <w:jc w:val="both"/>
        <w:rPr>
          <w:rFonts w:ascii="Times New Roman" w:hAnsi="Times New Roman"/>
          <w:sz w:val="24"/>
          <w:szCs w:val="24"/>
        </w:rPr>
      </w:pPr>
    </w:p>
    <w:p w:rsidR="00273EA0"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Zou vd. (2003) tarafından, güney Çin’de bulunan Guangzhou bölgesindeki Datianshan depolama sahasında mevsimsel bir çalışma yapılmıştır. Çalışmalarında analizde Aerotrap ve Purge &amp; Trap sistemleri ile kurulu olan GC (MS) kullanılmıştır. Bu çalışmaya ilişkin analiz sonuçları Tablo 4’te verilmiştir. Elde ettikleri maksimum ve minimum benzen, </w:t>
      </w:r>
      <w:r w:rsidR="00273EA0">
        <w:rPr>
          <w:rFonts w:ascii="Times New Roman" w:hAnsi="Times New Roman"/>
          <w:sz w:val="24"/>
          <w:szCs w:val="24"/>
        </w:rPr>
        <w:t xml:space="preserve">            </w:t>
      </w:r>
    </w:p>
    <w:p w:rsidR="00273EA0" w:rsidRDefault="00273EA0"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toluen, etilbenzen, mp-ksilen ve o-ksilen konsantrasyonları sırasıyla µg/m</w:t>
      </w:r>
      <w:r w:rsidRPr="00D6441B">
        <w:rPr>
          <w:rFonts w:ascii="Times New Roman" w:hAnsi="Times New Roman"/>
          <w:sz w:val="24"/>
          <w:szCs w:val="24"/>
          <w:vertAlign w:val="superscript"/>
        </w:rPr>
        <w:t>3</w:t>
      </w:r>
      <w:r w:rsidRPr="00D6441B">
        <w:rPr>
          <w:rFonts w:ascii="Times New Roman" w:hAnsi="Times New Roman"/>
          <w:sz w:val="24"/>
          <w:szCs w:val="24"/>
        </w:rPr>
        <w:t xml:space="preserve"> olarak şöyledir: 167, 202, 52, 97 ve 72. Yine benzer bir çalışma Allen vd. (1997) tarafından İngiltere’de 7 farklı düzenli depolama alanında yapılmıştır. Bu çalışmada elde edilen bazı maksimum emisyon değerleri ise şöyledir; benzen 7 mg/m</w:t>
      </w:r>
      <w:r w:rsidRPr="00D6441B">
        <w:rPr>
          <w:rFonts w:ascii="Times New Roman" w:hAnsi="Times New Roman"/>
          <w:sz w:val="24"/>
          <w:szCs w:val="24"/>
          <w:vertAlign w:val="superscript"/>
        </w:rPr>
        <w:t>3</w:t>
      </w:r>
      <w:r w:rsidRPr="00D6441B">
        <w:rPr>
          <w:rFonts w:ascii="Times New Roman" w:hAnsi="Times New Roman"/>
          <w:sz w:val="24"/>
          <w:szCs w:val="24"/>
        </w:rPr>
        <w:t>, toluen 287 mg/m</w:t>
      </w:r>
      <w:r w:rsidRPr="00D6441B">
        <w:rPr>
          <w:rFonts w:ascii="Times New Roman" w:hAnsi="Times New Roman"/>
          <w:sz w:val="24"/>
          <w:szCs w:val="24"/>
          <w:vertAlign w:val="superscript"/>
        </w:rPr>
        <w:t>3</w:t>
      </w:r>
      <w:r w:rsidRPr="00D6441B">
        <w:rPr>
          <w:rFonts w:ascii="Times New Roman" w:hAnsi="Times New Roman"/>
          <w:sz w:val="24"/>
          <w:szCs w:val="24"/>
        </w:rPr>
        <w:t>, ksilenler 440 mg/m</w:t>
      </w:r>
      <w:r w:rsidRPr="00D6441B">
        <w:rPr>
          <w:rFonts w:ascii="Times New Roman" w:hAnsi="Times New Roman"/>
          <w:sz w:val="24"/>
          <w:szCs w:val="24"/>
          <w:vertAlign w:val="superscript"/>
        </w:rPr>
        <w:t>3</w:t>
      </w:r>
      <w:r w:rsidRPr="00D6441B">
        <w:rPr>
          <w:rFonts w:ascii="Times New Roman" w:hAnsi="Times New Roman"/>
          <w:sz w:val="24"/>
          <w:szCs w:val="24"/>
        </w:rPr>
        <w:t>’tür.</w:t>
      </w:r>
    </w:p>
    <w:p w:rsidR="001F5FA8" w:rsidRPr="00D6441B" w:rsidRDefault="001F5FA8" w:rsidP="001F5FA8">
      <w:pPr>
        <w:tabs>
          <w:tab w:val="left" w:pos="3828"/>
        </w:tabs>
        <w:spacing w:before="120" w:after="120" w:line="240" w:lineRule="auto"/>
        <w:jc w:val="both"/>
        <w:rPr>
          <w:rFonts w:ascii="Times New Roman" w:hAnsi="Times New Roman"/>
          <w:sz w:val="24"/>
          <w:szCs w:val="24"/>
        </w:rPr>
      </w:pPr>
      <w:bookmarkStart w:id="23" w:name="_Toc202798865"/>
      <w:r w:rsidRPr="00D6441B">
        <w:rPr>
          <w:rFonts w:ascii="Times New Roman" w:hAnsi="Times New Roman"/>
          <w:b/>
          <w:sz w:val="24"/>
          <w:szCs w:val="24"/>
        </w:rPr>
        <w:lastRenderedPageBreak/>
        <w:t>Tablo 4.</w:t>
      </w:r>
      <w:r w:rsidRPr="00D6441B">
        <w:rPr>
          <w:rFonts w:ascii="Times New Roman" w:hAnsi="Times New Roman"/>
          <w:sz w:val="24"/>
          <w:szCs w:val="24"/>
        </w:rPr>
        <w:t xml:space="preserve"> Datianshan (Çin) depolama sahasında elde edilen VOC analiz sonuçları (Zou vd., 2003)</w:t>
      </w:r>
      <w:bookmarkEnd w:id="23"/>
      <w:r w:rsidRPr="00D6441B">
        <w:rPr>
          <w:rFonts w:ascii="Times New Roman" w:hAnsi="Times New Roman"/>
          <w:sz w:val="24"/>
          <w:szCs w:val="24"/>
        </w:rPr>
        <w:t>.</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1291"/>
        <w:gridCol w:w="1637"/>
      </w:tblGrid>
      <w:tr w:rsidR="001F5FA8" w:rsidRPr="00D6441B" w:rsidTr="008D1314">
        <w:trPr>
          <w:trHeight w:val="288"/>
          <w:jc w:val="center"/>
        </w:trPr>
        <w:tc>
          <w:tcPr>
            <w:tcW w:w="2835" w:type="dxa"/>
            <w:vMerge w:val="restart"/>
            <w:vAlign w:val="center"/>
          </w:tcPr>
          <w:p w:rsidR="001F5FA8" w:rsidRPr="00D6441B" w:rsidRDefault="001F5FA8" w:rsidP="008D1314">
            <w:pPr>
              <w:tabs>
                <w:tab w:val="left" w:pos="3828"/>
              </w:tabs>
              <w:spacing w:after="0" w:line="240" w:lineRule="auto"/>
              <w:jc w:val="both"/>
              <w:rPr>
                <w:rFonts w:ascii="Times New Roman" w:hAnsi="Times New Roman"/>
                <w:b/>
                <w:sz w:val="24"/>
                <w:szCs w:val="24"/>
              </w:rPr>
            </w:pPr>
            <w:r w:rsidRPr="00D6441B">
              <w:rPr>
                <w:rFonts w:ascii="Times New Roman" w:hAnsi="Times New Roman"/>
                <w:b/>
                <w:sz w:val="24"/>
                <w:szCs w:val="24"/>
              </w:rPr>
              <w:t>VOC Bileşenleri</w:t>
            </w:r>
          </w:p>
        </w:tc>
        <w:tc>
          <w:tcPr>
            <w:tcW w:w="5387" w:type="dxa"/>
            <w:gridSpan w:val="2"/>
            <w:vAlign w:val="center"/>
          </w:tcPr>
          <w:p w:rsidR="001F5FA8" w:rsidRPr="00D6441B" w:rsidRDefault="001F5FA8" w:rsidP="008D1314">
            <w:pPr>
              <w:tabs>
                <w:tab w:val="left" w:pos="3828"/>
              </w:tabs>
              <w:spacing w:after="0" w:line="240" w:lineRule="auto"/>
              <w:jc w:val="both"/>
              <w:rPr>
                <w:rFonts w:ascii="Times New Roman" w:hAnsi="Times New Roman"/>
                <w:b/>
                <w:sz w:val="24"/>
                <w:szCs w:val="24"/>
              </w:rPr>
            </w:pPr>
            <w:r w:rsidRPr="00D6441B">
              <w:rPr>
                <w:rFonts w:ascii="Times New Roman" w:hAnsi="Times New Roman"/>
                <w:b/>
                <w:sz w:val="24"/>
                <w:szCs w:val="24"/>
              </w:rPr>
              <w:t>Konsantrasyon Aralığı, (µg/m</w:t>
            </w:r>
            <w:r w:rsidRPr="00D6441B">
              <w:rPr>
                <w:rFonts w:ascii="Times New Roman" w:hAnsi="Times New Roman"/>
                <w:b/>
                <w:sz w:val="24"/>
                <w:szCs w:val="24"/>
                <w:vertAlign w:val="superscript"/>
              </w:rPr>
              <w:t>3</w:t>
            </w:r>
            <w:r w:rsidRPr="00D6441B">
              <w:rPr>
                <w:rFonts w:ascii="Times New Roman" w:hAnsi="Times New Roman"/>
                <w:b/>
                <w:sz w:val="24"/>
                <w:szCs w:val="24"/>
              </w:rPr>
              <w:t>)</w:t>
            </w:r>
          </w:p>
        </w:tc>
      </w:tr>
      <w:tr w:rsidR="001F5FA8" w:rsidRPr="00D6441B" w:rsidTr="008D1314">
        <w:trPr>
          <w:trHeight w:val="321"/>
          <w:jc w:val="center"/>
        </w:trPr>
        <w:tc>
          <w:tcPr>
            <w:tcW w:w="2835" w:type="dxa"/>
            <w:vMerge/>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p>
        </w:tc>
        <w:tc>
          <w:tcPr>
            <w:tcW w:w="2127" w:type="dxa"/>
            <w:vAlign w:val="center"/>
          </w:tcPr>
          <w:p w:rsidR="001F5FA8" w:rsidRPr="00D6441B" w:rsidRDefault="001F5FA8" w:rsidP="008D1314">
            <w:pPr>
              <w:tabs>
                <w:tab w:val="left" w:pos="3828"/>
              </w:tabs>
              <w:spacing w:after="0" w:line="240" w:lineRule="auto"/>
              <w:jc w:val="both"/>
              <w:rPr>
                <w:rFonts w:ascii="Times New Roman" w:hAnsi="Times New Roman"/>
                <w:b/>
                <w:sz w:val="24"/>
                <w:szCs w:val="24"/>
              </w:rPr>
            </w:pPr>
            <w:r w:rsidRPr="00D6441B">
              <w:rPr>
                <w:rFonts w:ascii="Times New Roman" w:hAnsi="Times New Roman"/>
                <w:b/>
                <w:sz w:val="24"/>
                <w:szCs w:val="24"/>
              </w:rPr>
              <w:t>Min. (ort.)</w:t>
            </w:r>
          </w:p>
        </w:tc>
        <w:tc>
          <w:tcPr>
            <w:tcW w:w="3260" w:type="dxa"/>
            <w:vAlign w:val="center"/>
          </w:tcPr>
          <w:p w:rsidR="001F5FA8" w:rsidRPr="00D6441B" w:rsidRDefault="001F5FA8" w:rsidP="008D1314">
            <w:pPr>
              <w:tabs>
                <w:tab w:val="left" w:pos="3828"/>
              </w:tabs>
              <w:spacing w:after="0" w:line="240" w:lineRule="auto"/>
              <w:jc w:val="both"/>
              <w:rPr>
                <w:rFonts w:ascii="Times New Roman" w:hAnsi="Times New Roman"/>
                <w:b/>
                <w:sz w:val="24"/>
                <w:szCs w:val="24"/>
              </w:rPr>
            </w:pPr>
            <w:r w:rsidRPr="00D6441B">
              <w:rPr>
                <w:rFonts w:ascii="Times New Roman" w:hAnsi="Times New Roman"/>
                <w:b/>
                <w:sz w:val="24"/>
                <w:szCs w:val="24"/>
              </w:rPr>
              <w:t>Max. (ort.)</w:t>
            </w:r>
          </w:p>
        </w:tc>
      </w:tr>
      <w:tr w:rsidR="001F5FA8" w:rsidRPr="00D6441B" w:rsidTr="008D1314">
        <w:trPr>
          <w:trHeight w:val="315"/>
          <w:jc w:val="center"/>
        </w:trPr>
        <w:tc>
          <w:tcPr>
            <w:tcW w:w="2835"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Benzen</w:t>
            </w:r>
          </w:p>
        </w:tc>
        <w:tc>
          <w:tcPr>
            <w:tcW w:w="2127"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1.2–15 (7.3)</w:t>
            </w:r>
          </w:p>
        </w:tc>
        <w:tc>
          <w:tcPr>
            <w:tcW w:w="3260"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41–167 (73)</w:t>
            </w:r>
          </w:p>
        </w:tc>
      </w:tr>
      <w:tr w:rsidR="001F5FA8" w:rsidRPr="00D6441B" w:rsidTr="008D1314">
        <w:trPr>
          <w:trHeight w:val="315"/>
          <w:jc w:val="center"/>
        </w:trPr>
        <w:tc>
          <w:tcPr>
            <w:tcW w:w="2835"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Toluen</w:t>
            </w:r>
          </w:p>
        </w:tc>
        <w:tc>
          <w:tcPr>
            <w:tcW w:w="2127"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1.7–23 (12)</w:t>
            </w:r>
          </w:p>
        </w:tc>
        <w:tc>
          <w:tcPr>
            <w:tcW w:w="3260"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82–202 (113)</w:t>
            </w:r>
          </w:p>
        </w:tc>
      </w:tr>
      <w:tr w:rsidR="001F5FA8" w:rsidRPr="00D6441B" w:rsidTr="008D1314">
        <w:trPr>
          <w:trHeight w:val="315"/>
          <w:jc w:val="center"/>
        </w:trPr>
        <w:tc>
          <w:tcPr>
            <w:tcW w:w="2835"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Etilbenzen</w:t>
            </w:r>
          </w:p>
        </w:tc>
        <w:tc>
          <w:tcPr>
            <w:tcW w:w="2127"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0.1–3.5 (1.8)</w:t>
            </w:r>
          </w:p>
        </w:tc>
        <w:tc>
          <w:tcPr>
            <w:tcW w:w="3260"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12–52 (24)</w:t>
            </w:r>
          </w:p>
        </w:tc>
      </w:tr>
      <w:tr w:rsidR="001F5FA8" w:rsidRPr="00D6441B" w:rsidTr="008D1314">
        <w:trPr>
          <w:trHeight w:val="315"/>
          <w:jc w:val="center"/>
        </w:trPr>
        <w:tc>
          <w:tcPr>
            <w:tcW w:w="2835"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mp-Ksilen</w:t>
            </w:r>
          </w:p>
        </w:tc>
        <w:tc>
          <w:tcPr>
            <w:tcW w:w="2127"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0.2–7.9 (3.7)</w:t>
            </w:r>
          </w:p>
        </w:tc>
        <w:tc>
          <w:tcPr>
            <w:tcW w:w="3260"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15–97 (42)</w:t>
            </w:r>
          </w:p>
        </w:tc>
      </w:tr>
      <w:tr w:rsidR="001F5FA8" w:rsidRPr="00D6441B" w:rsidTr="008D1314">
        <w:trPr>
          <w:trHeight w:val="315"/>
          <w:jc w:val="center"/>
        </w:trPr>
        <w:tc>
          <w:tcPr>
            <w:tcW w:w="2835"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o-Ksilen</w:t>
            </w:r>
          </w:p>
        </w:tc>
        <w:tc>
          <w:tcPr>
            <w:tcW w:w="2127"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0.1–4.0 (2.5)</w:t>
            </w:r>
          </w:p>
        </w:tc>
        <w:tc>
          <w:tcPr>
            <w:tcW w:w="3260" w:type="dxa"/>
            <w:vAlign w:val="center"/>
          </w:tcPr>
          <w:p w:rsidR="001F5FA8" w:rsidRPr="00D6441B" w:rsidRDefault="001F5FA8" w:rsidP="008D1314">
            <w:pPr>
              <w:tabs>
                <w:tab w:val="left" w:pos="3828"/>
              </w:tabs>
              <w:spacing w:after="0" w:line="240" w:lineRule="auto"/>
              <w:jc w:val="both"/>
              <w:rPr>
                <w:rFonts w:ascii="Times New Roman" w:hAnsi="Times New Roman"/>
                <w:sz w:val="24"/>
                <w:szCs w:val="24"/>
              </w:rPr>
            </w:pPr>
            <w:r w:rsidRPr="00D6441B">
              <w:rPr>
                <w:rFonts w:ascii="Times New Roman" w:hAnsi="Times New Roman"/>
                <w:sz w:val="24"/>
                <w:szCs w:val="24"/>
              </w:rPr>
              <w:t>17–72 (33)</w:t>
            </w:r>
          </w:p>
        </w:tc>
      </w:tr>
    </w:tbl>
    <w:p w:rsidR="001F5FA8" w:rsidRPr="00D6441B" w:rsidRDefault="001F5FA8" w:rsidP="001F5FA8">
      <w:pPr>
        <w:tabs>
          <w:tab w:val="left" w:pos="3828"/>
        </w:tabs>
        <w:spacing w:before="120" w:after="120" w:line="240" w:lineRule="auto"/>
        <w:jc w:val="both"/>
        <w:rPr>
          <w:rFonts w:ascii="Times New Roman" w:hAnsi="Times New Roman"/>
          <w:b/>
          <w:sz w:val="24"/>
          <w:szCs w:val="24"/>
        </w:rPr>
      </w:pPr>
    </w:p>
    <w:p w:rsidR="001F5FA8" w:rsidRDefault="001F5FA8" w:rsidP="001F5FA8">
      <w:pPr>
        <w:pStyle w:val="BodyText"/>
        <w:spacing w:before="120" w:line="240" w:lineRule="auto"/>
        <w:jc w:val="both"/>
        <w:rPr>
          <w:rFonts w:ascii="Times New Roman" w:hAnsi="Times New Roman"/>
          <w:sz w:val="24"/>
          <w:szCs w:val="24"/>
        </w:rPr>
      </w:pPr>
      <w:r w:rsidRPr="004F708D">
        <w:rPr>
          <w:rFonts w:ascii="Times New Roman" w:hAnsi="Times New Roman"/>
          <w:sz w:val="24"/>
          <w:szCs w:val="24"/>
        </w:rPr>
        <w:t>İzmit düzeni deponi sahasında elde edilen konsantrasyonlar ise kanserojen özellik taşıyan benzen konsantrasyonu ortalama 169 µg/m</w:t>
      </w:r>
      <w:r w:rsidRPr="004F708D">
        <w:rPr>
          <w:rFonts w:ascii="Times New Roman" w:hAnsi="Times New Roman"/>
          <w:sz w:val="24"/>
          <w:szCs w:val="24"/>
          <w:vertAlign w:val="superscript"/>
        </w:rPr>
        <w:t>3</w:t>
      </w:r>
      <w:r w:rsidRPr="004F708D">
        <w:rPr>
          <w:rFonts w:ascii="Times New Roman" w:hAnsi="Times New Roman"/>
          <w:sz w:val="24"/>
          <w:szCs w:val="24"/>
        </w:rPr>
        <w:t>, toluen 745 µg/m</w:t>
      </w:r>
      <w:r w:rsidRPr="004F708D">
        <w:rPr>
          <w:rFonts w:ascii="Times New Roman" w:hAnsi="Times New Roman"/>
          <w:sz w:val="24"/>
          <w:szCs w:val="24"/>
          <w:vertAlign w:val="superscript"/>
        </w:rPr>
        <w:t>3</w:t>
      </w:r>
      <w:r w:rsidRPr="004F708D">
        <w:rPr>
          <w:rFonts w:ascii="Times New Roman" w:hAnsi="Times New Roman"/>
          <w:sz w:val="24"/>
          <w:szCs w:val="24"/>
        </w:rPr>
        <w:t>, etilbenzen 190 µg/m</w:t>
      </w:r>
      <w:r w:rsidRPr="004F708D">
        <w:rPr>
          <w:rFonts w:ascii="Times New Roman" w:hAnsi="Times New Roman"/>
          <w:sz w:val="24"/>
          <w:szCs w:val="24"/>
          <w:vertAlign w:val="superscript"/>
        </w:rPr>
        <w:t>3</w:t>
      </w:r>
      <w:r w:rsidRPr="004F708D">
        <w:rPr>
          <w:rFonts w:ascii="Times New Roman" w:hAnsi="Times New Roman"/>
          <w:sz w:val="24"/>
          <w:szCs w:val="24"/>
        </w:rPr>
        <w:t>, toplam ksilenler 325 µg/m</w:t>
      </w:r>
      <w:r w:rsidRPr="004F708D">
        <w:rPr>
          <w:rFonts w:ascii="Times New Roman" w:hAnsi="Times New Roman"/>
          <w:sz w:val="24"/>
          <w:szCs w:val="24"/>
          <w:vertAlign w:val="superscript"/>
        </w:rPr>
        <w:t>3</w:t>
      </w:r>
      <w:r w:rsidRPr="004F708D">
        <w:rPr>
          <w:rFonts w:ascii="Times New Roman" w:hAnsi="Times New Roman"/>
          <w:sz w:val="24"/>
          <w:szCs w:val="24"/>
        </w:rPr>
        <w:t xml:space="preserve"> olarak bulunmuştur. Şahit numuneler de ise deteksiyon limitleri altında kaldığından BTEX bileşenleri ölçülememiştir. Şekil 2 (a ve b)’de Nisan ve Haziran ölçümlerinde elde edilen maksimum ve minimum BTEX konsantrasyonları grafik olarak verilmiştir. Bu ölçümlere ait minimum, maksimum ve geometrik ortalama değerleri arasındaki basit </w:t>
      </w:r>
      <w:r w:rsidRPr="004F708D">
        <w:rPr>
          <w:rFonts w:ascii="Times New Roman" w:hAnsi="Times New Roman"/>
          <w:sz w:val="24"/>
          <w:szCs w:val="24"/>
        </w:rPr>
        <w:lastRenderedPageBreak/>
        <w:t>regresyon ile elde edilen determinasyon katsayısı sırasıyla; 0.98, 0.05, 0.01 olarak hesaplanmıştır. Bu tarihlerde elde edilen BTEX konsantrasyonlarının minimum değerleri arasında yüksek oranda pozitif yönlü bir ilişki olduğu görülmektedir. Deponi alanında biriken ve toplama sistemine ulaşana kadar göletler halinde biriken süzüntü suyu belli bir seviyenin üzerinde olması halinde gaz çıkışını engellediği görülmüştür. Tesiste ölçüm noktalarına yakın bacalarda yapılan gözlemlerde birikmiş süzüntü suyunun Haziran ayında daha fazla olduğu, tesis çalışanları ile de belirlenmiştir. Sahada yapılan metan ölçümlerinde de birikmiş süzüntü suyu seviyesinin yüksek olması nedeniyle metan konsantrasyonlarının düştüğü de ifade edilmiştir. Literatür verileri ile karşılaştırıldığında, 2005 yılında kapatılan Lot 5 ve 2000’in sonunda kapatılan Lot 7 alanlarından atmosfere karışan BTEX oranları genelde daha düşük bulunmuştur. Ortaya çıkan farklı sonuçların özellikle depolamanın nasıl gerçekleştirildiği, deponi alanının yaşı, depolanan katı atıkların karakteri (C/N oranı ve nem içeriği vs.), iklim koşulları, dip süzüntü suyu seviyesi, ortam sıcaklığı ve depolama alanının kapatılma biçimine bağlı olarak değişebileceği unutulmamalıdır (Kolat, 2009; Taşpınar; 2002).</w:t>
      </w:r>
    </w:p>
    <w:p w:rsidR="00273EA0" w:rsidRDefault="00273EA0" w:rsidP="001F5FA8">
      <w:pPr>
        <w:pStyle w:val="BodyText"/>
        <w:spacing w:before="120" w:line="240" w:lineRule="auto"/>
        <w:jc w:val="both"/>
        <w:rPr>
          <w:rFonts w:ascii="Times New Roman" w:hAnsi="Times New Roman"/>
          <w:sz w:val="24"/>
          <w:szCs w:val="24"/>
        </w:rPr>
        <w:sectPr w:rsidR="00273EA0" w:rsidSect="00E230BE">
          <w:type w:val="continuous"/>
          <w:pgSz w:w="11906" w:h="16838"/>
          <w:pgMar w:top="1417" w:right="849" w:bottom="1417" w:left="1134" w:header="708" w:footer="340" w:gutter="0"/>
          <w:cols w:num="2" w:space="708"/>
          <w:docGrid w:linePitch="360"/>
        </w:sectPr>
      </w:pPr>
    </w:p>
    <w:p w:rsidR="00273EA0" w:rsidRPr="004F708D" w:rsidRDefault="00273EA0" w:rsidP="001F5FA8">
      <w:pPr>
        <w:pStyle w:val="BodyText"/>
        <w:spacing w:before="120" w:line="240" w:lineRule="auto"/>
        <w:jc w:val="both"/>
        <w:rPr>
          <w:rFonts w:ascii="Times New Roman" w:hAnsi="Times New Roman"/>
          <w:sz w:val="24"/>
          <w:szCs w:val="24"/>
        </w:rPr>
      </w:pPr>
    </w:p>
    <w:p w:rsidR="001F5FA8" w:rsidRDefault="001F5FA8" w:rsidP="001F5FA8">
      <w:pPr>
        <w:pStyle w:val="BodyText"/>
        <w:spacing w:before="120" w:line="240" w:lineRule="auto"/>
        <w:jc w:val="center"/>
        <w:rPr>
          <w:rFonts w:ascii="Times New Roman" w:hAnsi="Times New Roman"/>
          <w:noProof/>
          <w:sz w:val="24"/>
          <w:szCs w:val="24"/>
        </w:rPr>
      </w:pPr>
      <w:r>
        <w:rPr>
          <w:rFonts w:ascii="Times New Roman" w:hAnsi="Times New Roman"/>
          <w:noProof/>
          <w:sz w:val="24"/>
          <w:szCs w:val="24"/>
          <w:lang w:val="en-AU" w:eastAsia="en-AU"/>
        </w:rPr>
        <w:drawing>
          <wp:inline distT="0" distB="0" distL="0" distR="0">
            <wp:extent cx="3886200" cy="2151380"/>
            <wp:effectExtent l="19050" t="0" r="38100" b="1270"/>
            <wp:docPr id="54"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F5FA8" w:rsidRDefault="001F5FA8" w:rsidP="00273EA0">
      <w:pPr>
        <w:pStyle w:val="BodyText"/>
        <w:numPr>
          <w:ilvl w:val="0"/>
          <w:numId w:val="14"/>
        </w:numPr>
        <w:spacing w:before="120" w:line="240" w:lineRule="auto"/>
        <w:jc w:val="center"/>
        <w:rPr>
          <w:rFonts w:ascii="Times New Roman" w:hAnsi="Times New Roman"/>
          <w:b/>
          <w:sz w:val="24"/>
          <w:szCs w:val="24"/>
        </w:rPr>
      </w:pPr>
      <w:r w:rsidRPr="00D6441B">
        <w:rPr>
          <w:rFonts w:ascii="Times New Roman" w:hAnsi="Times New Roman"/>
          <w:b/>
          <w:sz w:val="24"/>
          <w:szCs w:val="24"/>
        </w:rPr>
        <w:t>Maksimum Değerler, (µg/m</w:t>
      </w:r>
      <w:r w:rsidRPr="00D6441B">
        <w:rPr>
          <w:rFonts w:ascii="Times New Roman" w:hAnsi="Times New Roman"/>
          <w:b/>
          <w:sz w:val="24"/>
          <w:szCs w:val="24"/>
          <w:vertAlign w:val="superscript"/>
        </w:rPr>
        <w:t>3</w:t>
      </w:r>
      <w:r w:rsidRPr="00D6441B">
        <w:rPr>
          <w:rFonts w:ascii="Times New Roman" w:hAnsi="Times New Roman"/>
          <w:b/>
          <w:sz w:val="24"/>
          <w:szCs w:val="24"/>
        </w:rPr>
        <w:t>)</w:t>
      </w:r>
    </w:p>
    <w:p w:rsidR="00273EA0" w:rsidRDefault="00273EA0" w:rsidP="00273EA0">
      <w:pPr>
        <w:pStyle w:val="BodyText"/>
        <w:spacing w:before="120" w:line="240" w:lineRule="auto"/>
        <w:ind w:left="720"/>
        <w:rPr>
          <w:rFonts w:ascii="Times New Roman" w:hAnsi="Times New Roman"/>
          <w:noProof/>
          <w:sz w:val="24"/>
          <w:szCs w:val="24"/>
        </w:rPr>
      </w:pPr>
    </w:p>
    <w:p w:rsidR="001F5FA8" w:rsidRPr="00D6441B" w:rsidRDefault="001F5FA8" w:rsidP="001F5FA8">
      <w:pPr>
        <w:pStyle w:val="BodyText"/>
        <w:spacing w:before="120" w:line="240" w:lineRule="auto"/>
        <w:jc w:val="center"/>
        <w:rPr>
          <w:rFonts w:ascii="Times New Roman" w:hAnsi="Times New Roman"/>
          <w:b/>
          <w:sz w:val="24"/>
          <w:szCs w:val="24"/>
        </w:rPr>
      </w:pPr>
      <w:r w:rsidRPr="00AD0E89">
        <w:rPr>
          <w:rFonts w:ascii="Times New Roman" w:hAnsi="Times New Roman"/>
          <w:noProof/>
          <w:sz w:val="24"/>
          <w:szCs w:val="24"/>
          <w:lang w:val="en-AU" w:eastAsia="en-AU"/>
        </w:rPr>
        <w:lastRenderedPageBreak/>
        <w:drawing>
          <wp:inline distT="0" distB="0" distL="0" distR="0">
            <wp:extent cx="3857625" cy="2152650"/>
            <wp:effectExtent l="19050" t="0" r="47625" b="0"/>
            <wp:docPr id="223"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F5FA8" w:rsidRPr="00AD0E89" w:rsidRDefault="001F5FA8" w:rsidP="001F5FA8">
      <w:pPr>
        <w:pStyle w:val="BodyText"/>
        <w:tabs>
          <w:tab w:val="left" w:pos="1134"/>
          <w:tab w:val="left" w:pos="6096"/>
        </w:tabs>
        <w:spacing w:before="120" w:line="240" w:lineRule="auto"/>
        <w:jc w:val="center"/>
        <w:rPr>
          <w:rFonts w:ascii="Times New Roman" w:hAnsi="Times New Roman"/>
          <w:b/>
          <w:sz w:val="24"/>
          <w:szCs w:val="24"/>
        </w:rPr>
      </w:pPr>
      <w:r w:rsidRPr="00D6441B">
        <w:rPr>
          <w:rFonts w:ascii="Times New Roman" w:hAnsi="Times New Roman"/>
          <w:b/>
          <w:sz w:val="24"/>
          <w:szCs w:val="24"/>
        </w:rPr>
        <w:t>b) Minimum Değerler, (µg/m</w:t>
      </w:r>
      <w:r w:rsidRPr="00D6441B">
        <w:rPr>
          <w:rFonts w:ascii="Times New Roman" w:hAnsi="Times New Roman"/>
          <w:b/>
          <w:sz w:val="24"/>
          <w:szCs w:val="24"/>
          <w:vertAlign w:val="superscript"/>
        </w:rPr>
        <w:t>3</w:t>
      </w:r>
      <w:r w:rsidRPr="00D6441B">
        <w:rPr>
          <w:rFonts w:ascii="Times New Roman" w:hAnsi="Times New Roman"/>
          <w:b/>
          <w:sz w:val="24"/>
          <w:szCs w:val="24"/>
        </w:rPr>
        <w:t>)</w:t>
      </w:r>
    </w:p>
    <w:p w:rsidR="001F5FA8" w:rsidRPr="00AD0E89" w:rsidRDefault="001F5FA8" w:rsidP="001F5FA8">
      <w:pPr>
        <w:pStyle w:val="BodyText"/>
        <w:spacing w:before="120" w:line="240" w:lineRule="auto"/>
        <w:jc w:val="center"/>
        <w:rPr>
          <w:rFonts w:ascii="Times New Roman" w:hAnsi="Times New Roman"/>
          <w:sz w:val="24"/>
          <w:szCs w:val="24"/>
        </w:rPr>
      </w:pPr>
      <w:r w:rsidRPr="00AD0E89">
        <w:rPr>
          <w:rFonts w:ascii="Times New Roman" w:hAnsi="Times New Roman"/>
          <w:b/>
          <w:sz w:val="24"/>
          <w:szCs w:val="24"/>
        </w:rPr>
        <w:t>Şekil 3.</w:t>
      </w:r>
      <w:r w:rsidRPr="00AD0E89">
        <w:rPr>
          <w:rFonts w:ascii="Times New Roman" w:hAnsi="Times New Roman"/>
          <w:sz w:val="24"/>
          <w:szCs w:val="24"/>
        </w:rPr>
        <w:t xml:space="preserve"> Nisan ve Haziran 2007 örneklemelerinin maksimum ve minimum değerleri.</w:t>
      </w:r>
    </w:p>
    <w:p w:rsidR="00273EA0" w:rsidRDefault="00273EA0" w:rsidP="001F5FA8">
      <w:pPr>
        <w:tabs>
          <w:tab w:val="left" w:pos="3828"/>
        </w:tabs>
        <w:spacing w:before="120" w:after="120" w:line="240" w:lineRule="auto"/>
        <w:jc w:val="both"/>
        <w:rPr>
          <w:rFonts w:ascii="Times New Roman" w:hAnsi="Times New Roman"/>
          <w:b/>
          <w:sz w:val="24"/>
          <w:szCs w:val="24"/>
        </w:rPr>
        <w:sectPr w:rsidR="00273EA0" w:rsidSect="00E230BE">
          <w:type w:val="continuous"/>
          <w:pgSz w:w="11906" w:h="16838"/>
          <w:pgMar w:top="1417" w:right="849" w:bottom="1417" w:left="1134" w:header="708" w:footer="340" w:gutter="0"/>
          <w:cols w:space="708"/>
          <w:docGrid w:linePitch="360"/>
        </w:sectPr>
      </w:pPr>
    </w:p>
    <w:p w:rsidR="00273EA0" w:rsidRDefault="00273EA0" w:rsidP="001F5FA8">
      <w:pPr>
        <w:tabs>
          <w:tab w:val="left" w:pos="3828"/>
        </w:tabs>
        <w:spacing w:before="120" w:after="120" w:line="240" w:lineRule="auto"/>
        <w:jc w:val="both"/>
        <w:rPr>
          <w:rFonts w:ascii="Times New Roman" w:hAnsi="Times New Roman"/>
          <w:b/>
          <w:sz w:val="24"/>
          <w:szCs w:val="24"/>
        </w:rPr>
      </w:pPr>
    </w:p>
    <w:p w:rsidR="001F5FA8" w:rsidRPr="00D6441B" w:rsidRDefault="001F5FA8" w:rsidP="00273EA0">
      <w:pPr>
        <w:tabs>
          <w:tab w:val="left" w:pos="3828"/>
        </w:tabs>
        <w:spacing w:before="120" w:after="120" w:line="240" w:lineRule="auto"/>
        <w:ind w:left="567" w:hanging="567"/>
        <w:jc w:val="both"/>
        <w:rPr>
          <w:rFonts w:ascii="Times New Roman" w:hAnsi="Times New Roman"/>
          <w:b/>
          <w:sz w:val="24"/>
          <w:szCs w:val="24"/>
        </w:rPr>
      </w:pPr>
      <w:r w:rsidRPr="00D6441B">
        <w:rPr>
          <w:rFonts w:ascii="Times New Roman" w:hAnsi="Times New Roman"/>
          <w:b/>
          <w:sz w:val="24"/>
          <w:szCs w:val="24"/>
        </w:rPr>
        <w:t>KAYNAKLAR</w:t>
      </w:r>
    </w:p>
    <w:p w:rsidR="001F5FA8" w:rsidRPr="00D6441B" w:rsidRDefault="001F5FA8" w:rsidP="00273EA0">
      <w:pPr>
        <w:tabs>
          <w:tab w:val="left" w:pos="3828"/>
        </w:tabs>
        <w:spacing w:before="120" w:after="120" w:line="240" w:lineRule="auto"/>
        <w:ind w:left="567" w:hanging="567"/>
        <w:jc w:val="both"/>
        <w:rPr>
          <w:rFonts w:ascii="Times New Roman" w:hAnsi="Times New Roman"/>
          <w:sz w:val="24"/>
          <w:szCs w:val="24"/>
        </w:rPr>
      </w:pPr>
    </w:p>
    <w:p w:rsidR="001F5FA8" w:rsidRPr="00D6441B" w:rsidRDefault="001F5FA8" w:rsidP="00273EA0">
      <w:pPr>
        <w:tabs>
          <w:tab w:val="left" w:pos="3828"/>
        </w:tabs>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Allen M., Braithwaite A. and Hills C., “Trace Organic Compounds in Landfill Gas at Seven U.K. Waste Disposal Sites”, Environ. Science. &amp; Technology, 31, 1054-1061, 1997.</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Christensen, T. H., Cossu, R., Stegmann, R., “Landfilling of Waste: Biogas”, E&amp;FN SPON, London, UK, 1996.</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Colls, J., “Air Pollution Second Edition”, Spon Press, Taylor &amp; Francis Group, London, chap. 1.4, chap. 6.1-6.4, 2002.</w:t>
      </w:r>
    </w:p>
    <w:p w:rsidR="001F5FA8" w:rsidRPr="00D6441B" w:rsidRDefault="001F5FA8" w:rsidP="00273EA0">
      <w:pPr>
        <w:spacing w:before="120" w:after="120" w:line="240" w:lineRule="auto"/>
        <w:ind w:left="567" w:hanging="567"/>
        <w:jc w:val="both"/>
        <w:rPr>
          <w:rFonts w:ascii="Times New Roman" w:hAnsi="Times New Roman"/>
          <w:bCs/>
          <w:sz w:val="24"/>
          <w:szCs w:val="24"/>
        </w:rPr>
      </w:pPr>
      <w:r w:rsidRPr="00D6441B">
        <w:rPr>
          <w:rFonts w:ascii="Times New Roman" w:hAnsi="Times New Roman"/>
          <w:bCs/>
          <w:sz w:val="24"/>
          <w:szCs w:val="24"/>
        </w:rPr>
        <w:t>Durmusoğlu E., Taspinar F., Karademir A., “Health risk assessment of landfill BTEX emissions", Journal of Hazardous Materials, 176, 870-877, 2010.</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Hamideh, S.A., “A Review of the Literature Regarding Non-Methane and Volatile Organic Compounds in Municipal Solid Waste Landfill Gas”, Department of Civil and Environmental Engineering University of Delaware, Newark, Delaware, 1-3, 5-9-21, 2000.</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Hester, R. E. and Harrison, R. M., “Volatile Organic Compounds in the Atmosphere”, Issues in Environmental Science and Technology, vol 4, Royal Society of Chemistry, 1995.</w:t>
      </w:r>
    </w:p>
    <w:p w:rsidR="00273EA0" w:rsidRDefault="00273EA0" w:rsidP="00273EA0">
      <w:pPr>
        <w:spacing w:before="120" w:after="120" w:line="240" w:lineRule="auto"/>
        <w:ind w:left="567" w:hanging="567"/>
        <w:jc w:val="both"/>
        <w:rPr>
          <w:rFonts w:ascii="Times New Roman" w:hAnsi="Times New Roman"/>
          <w:sz w:val="24"/>
          <w:szCs w:val="24"/>
        </w:rPr>
      </w:pPr>
    </w:p>
    <w:p w:rsidR="00273EA0" w:rsidRDefault="00273EA0" w:rsidP="00273EA0">
      <w:pPr>
        <w:spacing w:before="120" w:after="120" w:line="240" w:lineRule="auto"/>
        <w:ind w:left="567" w:hanging="567"/>
        <w:jc w:val="both"/>
        <w:rPr>
          <w:rFonts w:ascii="Times New Roman" w:hAnsi="Times New Roman"/>
          <w:sz w:val="24"/>
          <w:szCs w:val="24"/>
        </w:rPr>
      </w:pP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ISWA, “International Directory of Solid Waste Management 1993/4”, The ISWA Yearbook, 1993.</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Kolat, A., “Katı Atık Düzenli Depolama Alanı Ortam Havasında Karbonmonoksit (CO) Konsantrasyonlarının belirlenmesi ve Dağılım Modellemesi”, Yüksek Lisans Tezi, Kocaeli Üniversitesi, 2009.</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Taşpınar F., “İzmit Klinik ve Tehlikeli Atıkları Yakma ve Enerji Üretim Tesisi’nden Atmosfere Verilen Azot Oksit (NO</w:t>
      </w:r>
      <w:r w:rsidRPr="00D6441B">
        <w:rPr>
          <w:rFonts w:ascii="Times New Roman" w:hAnsi="Times New Roman"/>
          <w:sz w:val="24"/>
          <w:szCs w:val="24"/>
          <w:vertAlign w:val="subscript"/>
        </w:rPr>
        <w:t>X</w:t>
      </w:r>
      <w:r w:rsidRPr="00D6441B">
        <w:rPr>
          <w:rFonts w:ascii="Times New Roman" w:hAnsi="Times New Roman"/>
          <w:sz w:val="24"/>
          <w:szCs w:val="24"/>
        </w:rPr>
        <w:t>) Emisyonlarının Modellemesi”, Yüksek Lisans Tezi, Kocaeli Üniversitesi, 2002.</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Tchobanoglous, G., Theisen, H., Vigil, S.A., “Integrated Solid Waste Management: Engineering Principles and Management Issues”, McGraw-Hill, Inc., New York, NY, 1993.</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Urase, T., Okumura H., Inamura A., Panyosaranya S., Chiemchaisri C., “Volatile Organic Compounds in Landfill Gas and its Effect On Air Quality”, Symposium on Infrastructure Development and the Environment at 7-8 December 2006, University of Philippines, Diliman, Quezon City, Philippines, 2006.</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USEPA, “Toxicological Review of Benzene”, EPA/635/R-02/001F - IRIS, United States Environmental Protection Agency (US EPA), 117-126, 2002.</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lastRenderedPageBreak/>
        <w:t>USEPA, “Landfill Gas Emissions Model (LandGEM) Version 3.02 User’s Guide”, EPA-600/R-05/047, United States Environmental Protection Agency, Washington, DC, 2005.</w:t>
      </w:r>
    </w:p>
    <w:p w:rsidR="001F5FA8" w:rsidRPr="00D6441B" w:rsidRDefault="001F5FA8" w:rsidP="00273EA0">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Zou S. C., Lee S. C., Chan C. Y., Ho K. F., Wang X. M., Chan L.Y., Zhang Z. X., </w:t>
      </w:r>
      <w:r w:rsidRPr="00D6441B">
        <w:rPr>
          <w:rFonts w:ascii="Times New Roman" w:hAnsi="Times New Roman"/>
          <w:sz w:val="24"/>
          <w:szCs w:val="24"/>
        </w:rPr>
        <w:lastRenderedPageBreak/>
        <w:t>“Characterization of Ambient Volatile Organic Compounds at a Land Fill Site in Guangzhou, South China”, Chemosphere, 51, 1015-1022, 2003.</w:t>
      </w:r>
    </w:p>
    <w:p w:rsidR="001F5FA8" w:rsidRDefault="001F5FA8">
      <w:pPr>
        <w:rPr>
          <w:rFonts w:ascii="Times New Roman" w:hAnsi="Times New Roman"/>
          <w:sz w:val="24"/>
          <w:szCs w:val="24"/>
          <w:lang w:eastAsia="tr-TR"/>
        </w:rPr>
      </w:pPr>
      <w:r>
        <w:rPr>
          <w:rFonts w:ascii="Times New Roman" w:hAnsi="Times New Roman"/>
          <w:sz w:val="24"/>
          <w:szCs w:val="24"/>
          <w:lang w:eastAsia="tr-TR"/>
        </w:rPr>
        <w:br w:type="page"/>
      </w:r>
    </w:p>
    <w:p w:rsidR="008D1314" w:rsidRDefault="008D1314" w:rsidP="001F5FA8">
      <w:pPr>
        <w:spacing w:before="120" w:after="120" w:line="240" w:lineRule="auto"/>
        <w:jc w:val="center"/>
        <w:rPr>
          <w:rFonts w:ascii="Times New Roman" w:hAnsi="Times New Roman"/>
          <w:sz w:val="32"/>
          <w:szCs w:val="24"/>
        </w:rPr>
        <w:sectPr w:rsidR="008D1314" w:rsidSect="00E230BE">
          <w:type w:val="continuous"/>
          <w:pgSz w:w="11906" w:h="16838"/>
          <w:pgMar w:top="1417" w:right="849" w:bottom="1417" w:left="1134" w:header="708" w:footer="340" w:gutter="0"/>
          <w:cols w:num="2" w:space="708"/>
          <w:docGrid w:linePitch="360"/>
        </w:sectPr>
      </w:pPr>
    </w:p>
    <w:p w:rsidR="001F5FA8" w:rsidRPr="00EC400F" w:rsidRDefault="001F5FA8" w:rsidP="001F5FA8">
      <w:pPr>
        <w:spacing w:before="120" w:after="120" w:line="240" w:lineRule="auto"/>
        <w:jc w:val="center"/>
        <w:rPr>
          <w:rFonts w:ascii="Times New Roman" w:hAnsi="Times New Roman"/>
          <w:sz w:val="32"/>
          <w:szCs w:val="24"/>
        </w:rPr>
      </w:pPr>
    </w:p>
    <w:p w:rsidR="001F5FA8" w:rsidRPr="00EC400F" w:rsidRDefault="001F5FA8" w:rsidP="001F5FA8">
      <w:pPr>
        <w:spacing w:before="120" w:after="120" w:line="240" w:lineRule="auto"/>
        <w:jc w:val="center"/>
        <w:rPr>
          <w:rFonts w:ascii="Times New Roman" w:hAnsi="Times New Roman"/>
          <w:sz w:val="32"/>
          <w:szCs w:val="24"/>
        </w:rPr>
      </w:pPr>
    </w:p>
    <w:p w:rsidR="001F5FA8" w:rsidRPr="00EC400F" w:rsidRDefault="001F5FA8" w:rsidP="001F5FA8">
      <w:pPr>
        <w:spacing w:before="120" w:after="120" w:line="240" w:lineRule="auto"/>
        <w:jc w:val="center"/>
        <w:rPr>
          <w:rFonts w:ascii="Times New Roman" w:eastAsia="Calibri" w:hAnsi="Times New Roman"/>
          <w:b/>
          <w:sz w:val="32"/>
          <w:szCs w:val="24"/>
        </w:rPr>
      </w:pPr>
      <w:r w:rsidRPr="00EC400F">
        <w:rPr>
          <w:rFonts w:ascii="Times New Roman" w:eastAsia="Calibri" w:hAnsi="Times New Roman"/>
          <w:b/>
          <w:sz w:val="32"/>
          <w:szCs w:val="24"/>
        </w:rPr>
        <w:t>ATIKTAN TÜRETİLMİŞ YAKITIN ÇİMENTO ÜRETİMİNDE KULLANIMINA YÖNELİK TÜRKİYE’DEKİ İLK UYGULAMA</w:t>
      </w:r>
    </w:p>
    <w:p w:rsidR="001F5FA8" w:rsidRDefault="001F5FA8" w:rsidP="001F5FA8">
      <w:pPr>
        <w:spacing w:before="120" w:after="120" w:line="240" w:lineRule="auto"/>
        <w:jc w:val="both"/>
        <w:outlineLvl w:val="0"/>
        <w:rPr>
          <w:rFonts w:ascii="Times New Roman" w:eastAsia="Calibri" w:hAnsi="Times New Roman"/>
          <w:b/>
          <w:sz w:val="24"/>
          <w:szCs w:val="24"/>
        </w:rPr>
      </w:pPr>
    </w:p>
    <w:p w:rsidR="001F5FA8" w:rsidRPr="00D6441B" w:rsidRDefault="001F5FA8" w:rsidP="001F5FA8">
      <w:pPr>
        <w:spacing w:before="120" w:after="120" w:line="240" w:lineRule="auto"/>
        <w:jc w:val="both"/>
        <w:outlineLvl w:val="0"/>
        <w:rPr>
          <w:rFonts w:ascii="Times New Roman" w:eastAsia="Calibri" w:hAnsi="Times New Roman"/>
          <w:b/>
          <w:sz w:val="24"/>
          <w:szCs w:val="24"/>
        </w:rPr>
      </w:pPr>
      <w:r w:rsidRPr="00D6441B">
        <w:rPr>
          <w:rFonts w:ascii="Times New Roman" w:eastAsia="Calibri" w:hAnsi="Times New Roman"/>
          <w:b/>
          <w:sz w:val="24"/>
          <w:szCs w:val="24"/>
        </w:rPr>
        <w:t>Mustafa Kara</w:t>
      </w:r>
      <w:r w:rsidRPr="00D6441B">
        <w:rPr>
          <w:rFonts w:ascii="Times New Roman" w:eastAsia="Calibri" w:hAnsi="Times New Roman"/>
          <w:b/>
          <w:sz w:val="24"/>
          <w:szCs w:val="24"/>
          <w:vertAlign w:val="superscript"/>
        </w:rPr>
        <w:t>1</w:t>
      </w:r>
      <w:r w:rsidRPr="00D6441B">
        <w:rPr>
          <w:rFonts w:ascii="Times New Roman" w:eastAsia="Calibri" w:hAnsi="Times New Roman"/>
          <w:b/>
          <w:sz w:val="24"/>
          <w:szCs w:val="24"/>
        </w:rPr>
        <w:t>, Esin Günay</w:t>
      </w:r>
      <w:r w:rsidRPr="00D6441B">
        <w:rPr>
          <w:rFonts w:ascii="Times New Roman" w:eastAsia="Calibri" w:hAnsi="Times New Roman"/>
          <w:b/>
          <w:sz w:val="24"/>
          <w:szCs w:val="24"/>
          <w:vertAlign w:val="superscript"/>
        </w:rPr>
        <w:t>1</w:t>
      </w:r>
      <w:r w:rsidRPr="00D6441B">
        <w:rPr>
          <w:rFonts w:ascii="Times New Roman" w:eastAsia="Calibri" w:hAnsi="Times New Roman"/>
          <w:b/>
          <w:sz w:val="24"/>
          <w:szCs w:val="24"/>
        </w:rPr>
        <w:t>, Yasemin Tabak</w:t>
      </w:r>
      <w:r w:rsidRPr="00D6441B">
        <w:rPr>
          <w:rFonts w:ascii="Times New Roman" w:eastAsia="Calibri" w:hAnsi="Times New Roman"/>
          <w:b/>
          <w:sz w:val="24"/>
          <w:szCs w:val="24"/>
          <w:vertAlign w:val="superscript"/>
        </w:rPr>
        <w:t>1</w:t>
      </w:r>
      <w:r w:rsidRPr="00D6441B">
        <w:rPr>
          <w:rFonts w:ascii="Times New Roman" w:eastAsia="Calibri" w:hAnsi="Times New Roman"/>
          <w:b/>
          <w:sz w:val="24"/>
          <w:szCs w:val="24"/>
        </w:rPr>
        <w:t>,</w:t>
      </w:r>
      <w:r>
        <w:rPr>
          <w:rFonts w:ascii="Times New Roman" w:eastAsia="Calibri" w:hAnsi="Times New Roman"/>
          <w:b/>
          <w:sz w:val="24"/>
          <w:szCs w:val="24"/>
        </w:rPr>
        <w:t xml:space="preserve"> </w:t>
      </w:r>
      <w:r w:rsidRPr="00D6441B">
        <w:rPr>
          <w:rFonts w:ascii="Times New Roman" w:eastAsia="Calibri" w:hAnsi="Times New Roman"/>
          <w:b/>
          <w:sz w:val="24"/>
          <w:szCs w:val="24"/>
        </w:rPr>
        <w:t>Şenol Yıldız</w:t>
      </w:r>
      <w:r w:rsidRPr="00D6441B">
        <w:rPr>
          <w:rFonts w:ascii="Times New Roman" w:eastAsia="Calibri" w:hAnsi="Times New Roman"/>
          <w:b/>
          <w:sz w:val="24"/>
          <w:szCs w:val="24"/>
          <w:vertAlign w:val="superscript"/>
        </w:rPr>
        <w:t>2</w:t>
      </w:r>
      <w:r w:rsidRPr="00D6441B">
        <w:rPr>
          <w:rFonts w:ascii="Times New Roman" w:eastAsia="Calibri" w:hAnsi="Times New Roman"/>
          <w:b/>
          <w:sz w:val="24"/>
          <w:szCs w:val="24"/>
        </w:rPr>
        <w:t>, Volkan Enç</w:t>
      </w:r>
      <w:r w:rsidRPr="00D6441B">
        <w:rPr>
          <w:rFonts w:ascii="Times New Roman" w:eastAsia="Calibri" w:hAnsi="Times New Roman"/>
          <w:b/>
          <w:sz w:val="24"/>
          <w:szCs w:val="24"/>
          <w:vertAlign w:val="superscript"/>
        </w:rPr>
        <w:t>2</w:t>
      </w:r>
      <w:r w:rsidRPr="00D6441B">
        <w:rPr>
          <w:rFonts w:ascii="Times New Roman" w:eastAsia="Calibri" w:hAnsi="Times New Roman"/>
          <w:b/>
          <w:sz w:val="24"/>
          <w:szCs w:val="24"/>
        </w:rPr>
        <w:t>, Ufuk Durgut</w:t>
      </w:r>
      <w:r w:rsidRPr="00D6441B">
        <w:rPr>
          <w:rFonts w:ascii="Times New Roman" w:eastAsia="Calibri" w:hAnsi="Times New Roman"/>
          <w:b/>
          <w:sz w:val="24"/>
          <w:szCs w:val="24"/>
          <w:vertAlign w:val="superscript"/>
        </w:rPr>
        <w:t>3</w:t>
      </w:r>
    </w:p>
    <w:p w:rsidR="001F5FA8" w:rsidRPr="00D6441B" w:rsidRDefault="001F5FA8" w:rsidP="001F5FA8">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vertAlign w:val="superscript"/>
        </w:rPr>
        <w:t>1</w:t>
      </w:r>
      <w:r w:rsidRPr="00D6441B">
        <w:rPr>
          <w:rFonts w:ascii="Times New Roman" w:eastAsia="Calibri" w:hAnsi="Times New Roman"/>
          <w:sz w:val="24"/>
          <w:szCs w:val="24"/>
        </w:rPr>
        <w:t>TÜBİTAK MAM Malzeme Enstitüsü Gebze, Kocaeli</w:t>
      </w:r>
    </w:p>
    <w:p w:rsidR="001F5FA8" w:rsidRPr="00D6441B" w:rsidRDefault="001F5FA8" w:rsidP="001F5FA8">
      <w:pPr>
        <w:spacing w:after="0" w:line="240" w:lineRule="auto"/>
        <w:jc w:val="both"/>
        <w:outlineLvl w:val="0"/>
        <w:rPr>
          <w:rFonts w:ascii="Times New Roman" w:eastAsia="Calibri" w:hAnsi="Times New Roman"/>
          <w:sz w:val="24"/>
          <w:szCs w:val="24"/>
        </w:rPr>
      </w:pPr>
      <w:r w:rsidRPr="00D6441B">
        <w:rPr>
          <w:rFonts w:ascii="Times New Roman" w:eastAsia="Calibri" w:hAnsi="Times New Roman"/>
          <w:sz w:val="24"/>
          <w:szCs w:val="24"/>
          <w:vertAlign w:val="superscript"/>
        </w:rPr>
        <w:t>2</w:t>
      </w:r>
      <w:r w:rsidRPr="00D6441B">
        <w:rPr>
          <w:rFonts w:ascii="Times New Roman" w:eastAsia="Calibri" w:hAnsi="Times New Roman"/>
          <w:sz w:val="24"/>
          <w:szCs w:val="24"/>
        </w:rPr>
        <w:t>İSTAÇ İstanbul Büyükşehir Belediyesi Ç</w:t>
      </w:r>
      <w:smartTag w:uri="urn:schemas-microsoft-com:office:smarttags" w:element="PersonName">
        <w:r w:rsidRPr="00D6441B">
          <w:rPr>
            <w:rFonts w:ascii="Times New Roman" w:eastAsia="Calibri" w:hAnsi="Times New Roman"/>
            <w:sz w:val="24"/>
            <w:szCs w:val="24"/>
          </w:rPr>
          <w:t>ev</w:t>
        </w:r>
      </w:smartTag>
      <w:r w:rsidRPr="00D6441B">
        <w:rPr>
          <w:rFonts w:ascii="Times New Roman" w:eastAsia="Calibri" w:hAnsi="Times New Roman"/>
          <w:sz w:val="24"/>
          <w:szCs w:val="24"/>
        </w:rPr>
        <w:t xml:space="preserve">re Koruma ve Atık Maddeleri </w:t>
      </w:r>
      <w:r>
        <w:rPr>
          <w:rFonts w:ascii="Times New Roman" w:eastAsia="Calibri" w:hAnsi="Times New Roman"/>
          <w:sz w:val="24"/>
          <w:szCs w:val="24"/>
        </w:rPr>
        <w:t xml:space="preserve">Değerlendirme San. ve Tic. A.Ş., </w:t>
      </w:r>
      <w:r w:rsidRPr="00D6441B">
        <w:rPr>
          <w:rFonts w:ascii="Times New Roman" w:eastAsia="Calibri" w:hAnsi="Times New Roman"/>
          <w:sz w:val="24"/>
          <w:szCs w:val="24"/>
        </w:rPr>
        <w:t>İstanbul</w:t>
      </w:r>
    </w:p>
    <w:p w:rsidR="001F5FA8" w:rsidRPr="00D6441B" w:rsidRDefault="001F5FA8" w:rsidP="001F5FA8">
      <w:pPr>
        <w:spacing w:after="0" w:line="240" w:lineRule="auto"/>
        <w:jc w:val="both"/>
        <w:outlineLvl w:val="0"/>
        <w:rPr>
          <w:rFonts w:ascii="Times New Roman" w:eastAsia="Calibri" w:hAnsi="Times New Roman"/>
          <w:sz w:val="24"/>
          <w:szCs w:val="24"/>
        </w:rPr>
      </w:pPr>
      <w:r w:rsidRPr="00D6441B">
        <w:rPr>
          <w:rFonts w:ascii="Times New Roman" w:eastAsia="Calibri" w:hAnsi="Times New Roman"/>
          <w:sz w:val="24"/>
          <w:szCs w:val="24"/>
          <w:vertAlign w:val="superscript"/>
        </w:rPr>
        <w:t>3</w:t>
      </w:r>
      <w:r w:rsidRPr="00D6441B">
        <w:rPr>
          <w:rFonts w:ascii="Times New Roman" w:eastAsia="Calibri" w:hAnsi="Times New Roman"/>
          <w:sz w:val="24"/>
          <w:szCs w:val="24"/>
        </w:rPr>
        <w:t xml:space="preserve">AKÇANSA Çimento Sanayi ve Ticaret </w:t>
      </w:r>
      <w:r>
        <w:rPr>
          <w:rFonts w:ascii="Times New Roman" w:eastAsia="Calibri" w:hAnsi="Times New Roman"/>
          <w:sz w:val="24"/>
          <w:szCs w:val="24"/>
        </w:rPr>
        <w:t>A.Ş., Çanakkale</w:t>
      </w:r>
    </w:p>
    <w:p w:rsidR="001F5FA8" w:rsidRDefault="001F5FA8" w:rsidP="001F5FA8">
      <w:pPr>
        <w:spacing w:before="120" w:after="120" w:line="240" w:lineRule="auto"/>
        <w:jc w:val="both"/>
        <w:outlineLvl w:val="0"/>
        <w:rPr>
          <w:rFonts w:ascii="Times New Roman" w:eastAsia="Calibri" w:hAnsi="Times New Roman"/>
          <w:b/>
          <w:sz w:val="24"/>
          <w:szCs w:val="24"/>
        </w:rPr>
      </w:pPr>
    </w:p>
    <w:p w:rsidR="001F5FA8" w:rsidRPr="00EC400F" w:rsidRDefault="001F5FA8" w:rsidP="001F5FA8">
      <w:pPr>
        <w:spacing w:before="120" w:after="120" w:line="240" w:lineRule="auto"/>
        <w:jc w:val="both"/>
        <w:outlineLvl w:val="0"/>
        <w:rPr>
          <w:rFonts w:ascii="Times New Roman" w:eastAsia="Calibri" w:hAnsi="Times New Roman"/>
          <w:b/>
          <w:sz w:val="24"/>
          <w:szCs w:val="24"/>
        </w:rPr>
      </w:pPr>
      <w:r w:rsidRPr="00D6441B">
        <w:rPr>
          <w:rFonts w:ascii="Times New Roman" w:eastAsia="Calibri" w:hAnsi="Times New Roman"/>
          <w:b/>
          <w:sz w:val="24"/>
          <w:szCs w:val="24"/>
        </w:rPr>
        <w:t>Özet</w:t>
      </w:r>
    </w:p>
    <w:p w:rsidR="001F5FA8" w:rsidRPr="00D6441B" w:rsidRDefault="001F5FA8" w:rsidP="001F5FA8">
      <w:pPr>
        <w:spacing w:before="120" w:after="120" w:line="240" w:lineRule="auto"/>
        <w:jc w:val="both"/>
        <w:outlineLvl w:val="0"/>
        <w:rPr>
          <w:rFonts w:ascii="Times New Roman" w:eastAsia="Calibri" w:hAnsi="Times New Roman"/>
          <w:sz w:val="24"/>
          <w:szCs w:val="24"/>
        </w:rPr>
      </w:pPr>
      <w:r w:rsidRPr="00D6441B">
        <w:rPr>
          <w:rFonts w:ascii="Times New Roman" w:eastAsia="Calibri" w:hAnsi="Times New Roman"/>
          <w:sz w:val="24"/>
          <w:szCs w:val="24"/>
        </w:rPr>
        <w:t>Amerika Ç</w:t>
      </w:r>
      <w:smartTag w:uri="urn:schemas-microsoft-com:office:smarttags" w:element="PersonName">
        <w:r w:rsidRPr="00D6441B">
          <w:rPr>
            <w:rFonts w:ascii="Times New Roman" w:eastAsia="Calibri" w:hAnsi="Times New Roman"/>
            <w:sz w:val="24"/>
            <w:szCs w:val="24"/>
          </w:rPr>
          <w:t>ev</w:t>
        </w:r>
      </w:smartTag>
      <w:r w:rsidRPr="00D6441B">
        <w:rPr>
          <w:rFonts w:ascii="Times New Roman" w:eastAsia="Calibri" w:hAnsi="Times New Roman"/>
          <w:sz w:val="24"/>
          <w:szCs w:val="24"/>
        </w:rPr>
        <w:t>re Koruma Ajansı’nın (EPA) yapmış olduğu tanımlamaya göre kentsel katı atık (MSW) yiyecek artıkları, eski gazeteler, paketleme malzemeleri, talaş, bitki ve ağaç parçaları gibi artıklardan oluşmaktadır. Günümüzde kentsel katı atığın bir kısmı geri dönüştürülmekte ve farklı alanlarda kullanılmaya başlanmıştır.  Çimento sektörü de atık yönetiminde önemli bir rol oynamaktadır. Atıklardan enerji geri kazanımı CO</w:t>
      </w:r>
      <w:r w:rsidRPr="00D6441B">
        <w:rPr>
          <w:rFonts w:ascii="Times New Roman" w:eastAsia="Calibri" w:hAnsi="Times New Roman"/>
          <w:sz w:val="24"/>
          <w:szCs w:val="24"/>
          <w:vertAlign w:val="subscript"/>
        </w:rPr>
        <w:t>2</w:t>
      </w:r>
      <w:r w:rsidRPr="00D6441B">
        <w:rPr>
          <w:rFonts w:ascii="Times New Roman" w:eastAsia="Calibri" w:hAnsi="Times New Roman"/>
          <w:sz w:val="24"/>
          <w:szCs w:val="24"/>
        </w:rPr>
        <w:t xml:space="preserve"> emisyonunu azaltır. Bu çalışmada kentsel katı atıktan RDF (atıktan türetilmiş yakıt) üretilmiş olup klinker üretimi esnasında ek yakıt olarak kullanılma imkanları araştırılmıştır. Bu amaçla hem pilot ölçekli çalışmada hem de endüstriyel ölçekli çalışmada RDF birincil yakıtla farklı oranlarda karıştırılarak deneyler yapılmıştır. Pilot ölçekli çalışma sonucunda üretilen klinkerin kimyasal ve minerolojik analizi tayin edilmiş ve buradan elde edilen </w:t>
      </w:r>
      <w:smartTag w:uri="urn:schemas-microsoft-com:office:smarttags" w:element="PersonName">
        <w:r w:rsidRPr="00D6441B">
          <w:rPr>
            <w:rFonts w:ascii="Times New Roman" w:eastAsia="Calibri" w:hAnsi="Times New Roman"/>
            <w:sz w:val="24"/>
            <w:szCs w:val="24"/>
          </w:rPr>
          <w:t>bilgi</w:t>
        </w:r>
      </w:smartTag>
      <w:r w:rsidRPr="00D6441B">
        <w:rPr>
          <w:rFonts w:ascii="Times New Roman" w:eastAsia="Calibri" w:hAnsi="Times New Roman"/>
          <w:sz w:val="24"/>
          <w:szCs w:val="24"/>
        </w:rPr>
        <w:t>ler doğrultusunda endüstriyel ölçekli deneyler yapılmıştır. Ayrıca endüstriyel ölçekli deneysel çalışmada emisyon ölçümleri de yapılarak ilgili tebliğde belirtilen sınır değerler ile kıyaslanmıştır. Hem klinker kalitesi hem de emisyon sınır değerleri açısından RDF’nin klinker üretiminde % 15 oranına kadar ek yakıt olarak kullanılabileceği belirlenmiştir.</w:t>
      </w:r>
    </w:p>
    <w:p w:rsidR="001F5FA8" w:rsidRPr="00D6441B" w:rsidRDefault="001F5FA8" w:rsidP="001F5FA8">
      <w:pPr>
        <w:spacing w:before="120" w:after="120" w:line="240" w:lineRule="auto"/>
        <w:jc w:val="both"/>
        <w:outlineLvl w:val="0"/>
        <w:rPr>
          <w:rFonts w:ascii="Times New Roman" w:eastAsia="Calibri" w:hAnsi="Times New Roman"/>
          <w:b/>
          <w:i/>
          <w:sz w:val="24"/>
          <w:szCs w:val="24"/>
        </w:rPr>
      </w:pPr>
      <w:r w:rsidRPr="00EC400F">
        <w:rPr>
          <w:rFonts w:ascii="Times New Roman" w:eastAsia="Calibri" w:hAnsi="Times New Roman"/>
          <w:b/>
          <w:i/>
          <w:sz w:val="24"/>
          <w:szCs w:val="24"/>
        </w:rPr>
        <w:t xml:space="preserve">Anahtar </w:t>
      </w:r>
      <w:r>
        <w:rPr>
          <w:rFonts w:ascii="Times New Roman" w:eastAsia="Calibri" w:hAnsi="Times New Roman"/>
          <w:b/>
          <w:i/>
          <w:sz w:val="24"/>
          <w:szCs w:val="24"/>
        </w:rPr>
        <w:t>K</w:t>
      </w:r>
      <w:r w:rsidRPr="00EC400F">
        <w:rPr>
          <w:rFonts w:ascii="Times New Roman" w:eastAsia="Calibri" w:hAnsi="Times New Roman"/>
          <w:b/>
          <w:i/>
          <w:sz w:val="24"/>
          <w:szCs w:val="24"/>
        </w:rPr>
        <w:t>elimeler</w:t>
      </w:r>
      <w:r w:rsidRPr="00D6441B">
        <w:rPr>
          <w:rFonts w:ascii="Times New Roman" w:eastAsia="Calibri" w:hAnsi="Times New Roman"/>
          <w:i/>
          <w:sz w:val="24"/>
          <w:szCs w:val="24"/>
        </w:rPr>
        <w:t>: Atıktan türetilmiş yakıt (RDF), atık yönetimi, çimento emisyon, kentsel katı atık (MSW)</w:t>
      </w:r>
    </w:p>
    <w:p w:rsidR="001F5FA8" w:rsidRPr="00D6441B" w:rsidRDefault="001F5FA8" w:rsidP="001F5FA8">
      <w:pPr>
        <w:spacing w:before="120" w:after="120" w:line="240" w:lineRule="auto"/>
        <w:jc w:val="both"/>
        <w:rPr>
          <w:rFonts w:ascii="Times New Roman" w:eastAsia="Calibri" w:hAnsi="Times New Roman"/>
          <w:b/>
          <w:sz w:val="24"/>
          <w:szCs w:val="24"/>
        </w:rPr>
      </w:pPr>
    </w:p>
    <w:p w:rsidR="001F5FA8" w:rsidRPr="00EC400F" w:rsidRDefault="001F5FA8" w:rsidP="001F5FA8">
      <w:pPr>
        <w:spacing w:before="120" w:after="120" w:line="240" w:lineRule="auto"/>
        <w:jc w:val="both"/>
        <w:rPr>
          <w:rFonts w:ascii="Times New Roman" w:eastAsia="Calibri" w:hAnsi="Times New Roman"/>
          <w:b/>
          <w:sz w:val="28"/>
          <w:szCs w:val="24"/>
          <w:lang w:val="en-US"/>
        </w:rPr>
      </w:pPr>
      <w:r w:rsidRPr="00EC400F">
        <w:rPr>
          <w:rFonts w:ascii="Times New Roman" w:eastAsia="Calibri" w:hAnsi="Times New Roman"/>
          <w:b/>
          <w:sz w:val="28"/>
          <w:szCs w:val="24"/>
          <w:lang w:val="en-US"/>
        </w:rPr>
        <w:t>FIRST APPLICATION OF USAGE REFUSE DERIVED FUEL IN CEMENT PRODUCTION IN TURKEY</w:t>
      </w:r>
    </w:p>
    <w:p w:rsidR="001F5FA8" w:rsidRPr="00D6441B" w:rsidRDefault="001F5FA8" w:rsidP="001F5FA8">
      <w:pPr>
        <w:spacing w:before="120" w:after="120" w:line="240" w:lineRule="auto"/>
        <w:jc w:val="both"/>
        <w:rPr>
          <w:rFonts w:ascii="Times New Roman" w:eastAsia="Calibri" w:hAnsi="Times New Roman"/>
          <w:b/>
          <w:sz w:val="24"/>
          <w:szCs w:val="24"/>
        </w:rPr>
      </w:pPr>
    </w:p>
    <w:p w:rsidR="001F5FA8" w:rsidRPr="00EC400F" w:rsidRDefault="001F5FA8" w:rsidP="001F5FA8">
      <w:pPr>
        <w:spacing w:before="120" w:after="120" w:line="240" w:lineRule="auto"/>
        <w:jc w:val="both"/>
        <w:outlineLvl w:val="0"/>
        <w:rPr>
          <w:rFonts w:ascii="Times New Roman" w:eastAsia="Calibri" w:hAnsi="Times New Roman"/>
          <w:b/>
          <w:sz w:val="24"/>
          <w:szCs w:val="24"/>
        </w:rPr>
      </w:pPr>
      <w:r w:rsidRPr="00D6441B">
        <w:rPr>
          <w:rFonts w:ascii="Times New Roman" w:eastAsia="Calibri" w:hAnsi="Times New Roman"/>
          <w:b/>
          <w:sz w:val="24"/>
          <w:szCs w:val="24"/>
        </w:rPr>
        <w:t>Abstract</w:t>
      </w:r>
    </w:p>
    <w:p w:rsidR="001F5FA8" w:rsidRPr="00EC400F" w:rsidRDefault="001F5FA8" w:rsidP="001F5FA8">
      <w:pPr>
        <w:spacing w:before="120" w:after="120" w:line="240" w:lineRule="auto"/>
        <w:jc w:val="both"/>
        <w:rPr>
          <w:rFonts w:ascii="Times New Roman" w:eastAsia="Calibri" w:hAnsi="Times New Roman"/>
          <w:bCs/>
          <w:sz w:val="24"/>
          <w:szCs w:val="24"/>
          <w:lang w:val="en-GB"/>
        </w:rPr>
      </w:pPr>
      <w:r w:rsidRPr="00D6441B">
        <w:rPr>
          <w:rFonts w:ascii="Times New Roman" w:eastAsia="Calibri" w:hAnsi="Times New Roman"/>
          <w:sz w:val="24"/>
          <w:szCs w:val="24"/>
          <w:lang w:val="en-GB"/>
        </w:rPr>
        <w:t>Most of the waste that people see is produced by ordinary households throwing out their uneaten food, yesterday's newspapers, packaging materials</w:t>
      </w:r>
      <w:bookmarkStart w:id="24" w:name="OLE_LINK11"/>
      <w:bookmarkStart w:id="25" w:name="OLE_LINK12"/>
      <w:r w:rsidRPr="00D6441B">
        <w:rPr>
          <w:rFonts w:ascii="Times New Roman" w:eastAsia="Calibri" w:hAnsi="Times New Roman"/>
          <w:sz w:val="24"/>
          <w:szCs w:val="24"/>
          <w:lang w:val="en-GB"/>
        </w:rPr>
        <w:t>, clippings</w:t>
      </w:r>
      <w:bookmarkEnd w:id="24"/>
      <w:bookmarkEnd w:id="25"/>
      <w:r w:rsidRPr="00D6441B">
        <w:rPr>
          <w:rFonts w:ascii="Times New Roman" w:eastAsia="Calibri" w:hAnsi="Times New Roman"/>
          <w:sz w:val="24"/>
          <w:szCs w:val="24"/>
          <w:lang w:val="en-GB"/>
        </w:rPr>
        <w:t xml:space="preserve">, and branches from bushes and trees. This is the type of garbage that the U.S. </w:t>
      </w:r>
      <w:r w:rsidRPr="00D6441B">
        <w:rPr>
          <w:rFonts w:ascii="Times New Roman" w:eastAsia="Calibri" w:hAnsi="Times New Roman"/>
          <w:bCs/>
          <w:sz w:val="24"/>
          <w:szCs w:val="24"/>
          <w:lang w:val="en-GB"/>
        </w:rPr>
        <w:t>Environmental Protection Agency</w:t>
      </w:r>
      <w:r w:rsidRPr="00D6441B">
        <w:rPr>
          <w:rFonts w:ascii="Times New Roman" w:eastAsia="Calibri" w:hAnsi="Times New Roman"/>
          <w:sz w:val="24"/>
          <w:szCs w:val="24"/>
          <w:lang w:val="en-GB"/>
        </w:rPr>
        <w:t xml:space="preserve"> (EPA) calls municipal solid waste (MSW). </w:t>
      </w:r>
      <w:proofErr w:type="gramStart"/>
      <w:r w:rsidRPr="00D6441B">
        <w:rPr>
          <w:rFonts w:ascii="Times New Roman" w:eastAsia="Calibri" w:hAnsi="Times New Roman"/>
          <w:sz w:val="24"/>
          <w:szCs w:val="24"/>
          <w:lang w:val="en-GB"/>
        </w:rPr>
        <w:t>Nowadays some of the MSW has been recycling and using at different fields.</w:t>
      </w:r>
      <w:proofErr w:type="gramEnd"/>
      <w:r w:rsidRPr="00D6441B">
        <w:rPr>
          <w:rFonts w:ascii="Times New Roman" w:eastAsia="Calibri" w:hAnsi="Times New Roman"/>
          <w:sz w:val="24"/>
          <w:szCs w:val="24"/>
          <w:lang w:val="en-GB"/>
        </w:rPr>
        <w:t xml:space="preserve"> Cement industries also has an important role for supplying preferable solutions to the waste management. Energy recovery from waste is also important for the reduction of CO</w:t>
      </w:r>
      <w:r w:rsidRPr="00D6441B">
        <w:rPr>
          <w:rFonts w:ascii="Times New Roman" w:eastAsia="Calibri" w:hAnsi="Times New Roman"/>
          <w:sz w:val="24"/>
          <w:szCs w:val="24"/>
          <w:vertAlign w:val="subscript"/>
          <w:lang w:val="en-GB"/>
        </w:rPr>
        <w:t>2</w:t>
      </w:r>
      <w:r w:rsidRPr="00D6441B">
        <w:rPr>
          <w:rFonts w:ascii="Times New Roman" w:eastAsia="Calibri" w:hAnsi="Times New Roman"/>
          <w:sz w:val="24"/>
          <w:szCs w:val="24"/>
          <w:lang w:val="en-GB"/>
        </w:rPr>
        <w:t xml:space="preserve"> emissions. In this study refuse derived fuel (RDF) produced from municipal solid waste was used in producing cement. At the same time usability of RDF in clinker production was investigated. </w:t>
      </w:r>
      <w:r w:rsidRPr="00D6441B">
        <w:rPr>
          <w:rFonts w:ascii="Times New Roman" w:hAnsi="Times New Roman"/>
          <w:bCs/>
          <w:sz w:val="24"/>
          <w:szCs w:val="24"/>
          <w:lang w:val="en-GB"/>
        </w:rPr>
        <w:t>For this purpose, the RDF was mixed and used with the main fuel in different ratios in pilot scale and industrial scale experiments. Chemical and mineralogical analyses of produced clinker were made in pilot scale experiments.</w:t>
      </w:r>
      <w:r w:rsidRPr="00D6441B">
        <w:rPr>
          <w:rFonts w:ascii="Times New Roman" w:hAnsi="Times New Roman"/>
          <w:sz w:val="24"/>
          <w:szCs w:val="24"/>
          <w:lang w:val="en-GB"/>
        </w:rPr>
        <w:t xml:space="preserve"> In the light of </w:t>
      </w:r>
      <w:r w:rsidRPr="00D6441B">
        <w:rPr>
          <w:rFonts w:ascii="Times New Roman" w:hAnsi="Times New Roman"/>
          <w:sz w:val="24"/>
          <w:szCs w:val="24"/>
          <w:lang w:val="en-GB"/>
        </w:rPr>
        <w:lastRenderedPageBreak/>
        <w:t xml:space="preserve">this </w:t>
      </w:r>
      <w:smartTag w:uri="urn:schemas-microsoft-com:office:smarttags" w:element="PersonName">
        <w:r w:rsidRPr="00D6441B">
          <w:rPr>
            <w:rFonts w:ascii="Times New Roman" w:hAnsi="Times New Roman"/>
            <w:sz w:val="24"/>
            <w:szCs w:val="24"/>
            <w:lang w:val="en-GB"/>
          </w:rPr>
          <w:t>info</w:t>
        </w:r>
      </w:smartTag>
      <w:r w:rsidRPr="00D6441B">
        <w:rPr>
          <w:rFonts w:ascii="Times New Roman" w:hAnsi="Times New Roman"/>
          <w:sz w:val="24"/>
          <w:szCs w:val="24"/>
          <w:lang w:val="en-GB"/>
        </w:rPr>
        <w:t xml:space="preserve">rmation industrial scale experiments were done. Also </w:t>
      </w:r>
      <w:r w:rsidRPr="00D6441B">
        <w:rPr>
          <w:rFonts w:ascii="Times New Roman" w:eastAsia="Calibri" w:hAnsi="Times New Roman"/>
          <w:bCs/>
          <w:sz w:val="24"/>
          <w:szCs w:val="24"/>
          <w:lang w:val="en-GB"/>
        </w:rPr>
        <w:t>emission values were being measured during the experiments at industrial scale rotary cement kiln. When 15% RDF is used as supplementary fuel together with petroleum coke in cement production, it does notcause any disadvantages in the view of clinker quality and emission values.</w:t>
      </w:r>
    </w:p>
    <w:p w:rsidR="001F5FA8" w:rsidRPr="00EC400F" w:rsidRDefault="001F5FA8" w:rsidP="001F5FA8">
      <w:pPr>
        <w:spacing w:before="120" w:after="120" w:line="240" w:lineRule="auto"/>
        <w:jc w:val="both"/>
        <w:rPr>
          <w:rFonts w:ascii="Times New Roman" w:eastAsia="Calibri" w:hAnsi="Times New Roman"/>
          <w:i/>
          <w:sz w:val="24"/>
          <w:szCs w:val="24"/>
          <w:lang w:val="en-US"/>
        </w:rPr>
      </w:pPr>
      <w:bookmarkStart w:id="26" w:name="OLE_LINK13"/>
      <w:r w:rsidRPr="00EC400F">
        <w:rPr>
          <w:rFonts w:ascii="Times New Roman" w:eastAsia="Calibri" w:hAnsi="Times New Roman"/>
          <w:b/>
          <w:i/>
          <w:sz w:val="24"/>
          <w:szCs w:val="24"/>
          <w:lang w:val="en-US"/>
        </w:rPr>
        <w:t>Keywords:</w:t>
      </w:r>
      <w:r w:rsidRPr="00D6441B">
        <w:rPr>
          <w:rFonts w:ascii="Times New Roman" w:eastAsia="Calibri" w:hAnsi="Times New Roman"/>
          <w:i/>
          <w:sz w:val="24"/>
          <w:szCs w:val="24"/>
          <w:lang w:val="en-US"/>
        </w:rPr>
        <w:t xml:space="preserve"> </w:t>
      </w:r>
      <w:bookmarkEnd w:id="26"/>
      <w:r w:rsidRPr="00D6441B">
        <w:rPr>
          <w:rFonts w:ascii="Times New Roman" w:eastAsia="Calibri" w:hAnsi="Times New Roman"/>
          <w:i/>
          <w:sz w:val="24"/>
          <w:szCs w:val="24"/>
          <w:lang w:val="en-US"/>
        </w:rPr>
        <w:t xml:space="preserve">Cement, emission, municipal solid waste (MSW), </w:t>
      </w:r>
      <w:proofErr w:type="gramStart"/>
      <w:r w:rsidRPr="00D6441B">
        <w:rPr>
          <w:rFonts w:ascii="Times New Roman" w:eastAsia="Calibri" w:hAnsi="Times New Roman"/>
          <w:i/>
          <w:sz w:val="24"/>
          <w:szCs w:val="24"/>
          <w:lang w:val="en-US"/>
        </w:rPr>
        <w:t>refuse</w:t>
      </w:r>
      <w:proofErr w:type="gramEnd"/>
      <w:r w:rsidRPr="00D6441B">
        <w:rPr>
          <w:rFonts w:ascii="Times New Roman" w:eastAsia="Calibri" w:hAnsi="Times New Roman"/>
          <w:i/>
          <w:sz w:val="24"/>
          <w:szCs w:val="24"/>
          <w:lang w:val="en-US"/>
        </w:rPr>
        <w:t xml:space="preserve"> derived fuel (RDF), waste management</w:t>
      </w:r>
    </w:p>
    <w:p w:rsidR="001F5FA8" w:rsidRPr="00D6441B" w:rsidRDefault="001F5FA8" w:rsidP="001F5FA8">
      <w:pPr>
        <w:spacing w:before="120" w:after="120" w:line="240" w:lineRule="auto"/>
        <w:jc w:val="both"/>
        <w:rPr>
          <w:rFonts w:ascii="Times New Roman" w:eastAsia="Calibri" w:hAnsi="Times New Roman"/>
          <w:b/>
          <w:sz w:val="24"/>
          <w:szCs w:val="24"/>
        </w:rPr>
      </w:pPr>
    </w:p>
    <w:p w:rsidR="00273EA0" w:rsidRDefault="00273EA0" w:rsidP="001F5FA8">
      <w:pPr>
        <w:spacing w:before="120" w:after="120" w:line="240" w:lineRule="auto"/>
        <w:jc w:val="both"/>
        <w:rPr>
          <w:rFonts w:ascii="Times New Roman" w:eastAsia="Calibri" w:hAnsi="Times New Roman"/>
          <w:b/>
          <w:sz w:val="24"/>
          <w:szCs w:val="24"/>
        </w:rPr>
        <w:sectPr w:rsidR="00273EA0" w:rsidSect="00E230BE">
          <w:type w:val="continuous"/>
          <w:pgSz w:w="11906" w:h="16838"/>
          <w:pgMar w:top="1417" w:right="849" w:bottom="1417" w:left="1134" w:header="708" w:footer="340" w:gutter="0"/>
          <w:cols w:space="708"/>
          <w:docGrid w:linePitch="360"/>
        </w:sectPr>
      </w:pPr>
    </w:p>
    <w:p w:rsidR="001F5FA8" w:rsidRPr="00D6441B" w:rsidRDefault="001F5FA8" w:rsidP="001F5FA8">
      <w:pPr>
        <w:spacing w:before="120" w:after="120" w:line="240" w:lineRule="auto"/>
        <w:jc w:val="both"/>
        <w:rPr>
          <w:rFonts w:ascii="Times New Roman" w:eastAsia="Calibri" w:hAnsi="Times New Roman"/>
          <w:b/>
          <w:sz w:val="24"/>
          <w:szCs w:val="24"/>
        </w:rPr>
      </w:pPr>
      <w:r w:rsidRPr="00D6441B">
        <w:rPr>
          <w:rFonts w:ascii="Times New Roman" w:eastAsia="Calibri" w:hAnsi="Times New Roman"/>
          <w:b/>
          <w:sz w:val="24"/>
          <w:szCs w:val="24"/>
        </w:rPr>
        <w:lastRenderedPageBreak/>
        <w:t>1. GİRİŞ</w:t>
      </w:r>
    </w:p>
    <w:p w:rsidR="001F5FA8" w:rsidRPr="00D6441B" w:rsidRDefault="001F5FA8" w:rsidP="001F5FA8">
      <w:pPr>
        <w:spacing w:before="120" w:after="120" w:line="240" w:lineRule="auto"/>
        <w:jc w:val="both"/>
        <w:rPr>
          <w:rFonts w:ascii="Times New Roman" w:eastAsia="Calibri" w:hAnsi="Times New Roman"/>
          <w:b/>
          <w:sz w:val="24"/>
          <w:szCs w:val="24"/>
        </w:rPr>
      </w:pPr>
    </w:p>
    <w:p w:rsidR="001F5FA8" w:rsidRPr="00D6441B" w:rsidRDefault="001F5FA8" w:rsidP="001F5FA8">
      <w:pPr>
        <w:spacing w:before="120" w:after="120" w:line="240" w:lineRule="auto"/>
        <w:jc w:val="both"/>
        <w:rPr>
          <w:rFonts w:ascii="Times New Roman" w:eastAsia="Calibri" w:hAnsi="Times New Roman"/>
          <w:sz w:val="24"/>
          <w:szCs w:val="24"/>
        </w:rPr>
      </w:pPr>
      <w:r w:rsidRPr="00D6441B">
        <w:rPr>
          <w:rFonts w:ascii="Times New Roman" w:eastAsia="Calibri" w:hAnsi="Times New Roman"/>
          <w:sz w:val="24"/>
          <w:szCs w:val="24"/>
        </w:rPr>
        <w:t>Katı atık sorunundan kaynaklanan ç</w:t>
      </w:r>
      <w:smartTag w:uri="urn:schemas-microsoft-com:office:smarttags" w:element="PersonName">
        <w:r w:rsidRPr="00D6441B">
          <w:rPr>
            <w:rFonts w:ascii="Times New Roman" w:eastAsia="Calibri" w:hAnsi="Times New Roman"/>
            <w:sz w:val="24"/>
            <w:szCs w:val="24"/>
          </w:rPr>
          <w:t>ev</w:t>
        </w:r>
      </w:smartTag>
      <w:r w:rsidRPr="00D6441B">
        <w:rPr>
          <w:rFonts w:ascii="Times New Roman" w:eastAsia="Calibri" w:hAnsi="Times New Roman"/>
          <w:sz w:val="24"/>
          <w:szCs w:val="24"/>
        </w:rPr>
        <w:t xml:space="preserve">resel bozulmalar günümüzde ciddi boyutlara ulaşmıştır. Atıkların toplanması, taşınması, geri kazanımı ve yok edilmesi süreçleri karmaşık bir dizi örgütlenmeyi gerekli kılmaktadır. </w:t>
      </w:r>
      <w:r w:rsidRPr="00D6441B">
        <w:rPr>
          <w:rFonts w:ascii="Times New Roman" w:hAnsi="Times New Roman"/>
          <w:sz w:val="24"/>
          <w:szCs w:val="24"/>
        </w:rPr>
        <w:t xml:space="preserve">Hızla artan dünya nüfusa paralel olarak insanların ürettikleri çöp miktarları büyük problemler oluşturmaya başlamıştır. Türkiye’de bir kişi 1 ayda yaklaşık </w:t>
      </w:r>
      <w:smartTag w:uri="urn:schemas-microsoft-com:office:smarttags" w:element="metricconverter">
        <w:smartTagPr>
          <w:attr w:name="ProductID" w:val="45 kg"/>
        </w:smartTagPr>
        <w:r w:rsidRPr="00D6441B">
          <w:rPr>
            <w:rFonts w:ascii="Times New Roman" w:hAnsi="Times New Roman"/>
            <w:sz w:val="24"/>
            <w:szCs w:val="24"/>
          </w:rPr>
          <w:t>45 kg</w:t>
        </w:r>
      </w:smartTag>
      <w:r w:rsidRPr="00D6441B">
        <w:rPr>
          <w:rFonts w:ascii="Times New Roman" w:hAnsi="Times New Roman"/>
          <w:sz w:val="24"/>
          <w:szCs w:val="24"/>
        </w:rPr>
        <w:t xml:space="preserve"> çöp oluşturmaktadır. Bu rakam AB ülkelerindeyse </w:t>
      </w:r>
      <w:smartTag w:uri="urn:schemas-microsoft-com:office:smarttags" w:element="metricconverter">
        <w:smartTagPr>
          <w:attr w:name="ProductID" w:val="25 kg"/>
        </w:smartTagPr>
        <w:r w:rsidRPr="00D6441B">
          <w:rPr>
            <w:rFonts w:ascii="Times New Roman" w:hAnsi="Times New Roman"/>
            <w:sz w:val="24"/>
            <w:szCs w:val="24"/>
          </w:rPr>
          <w:t>25 kg</w:t>
        </w:r>
      </w:smartTag>
      <w:r w:rsidRPr="00D6441B">
        <w:rPr>
          <w:rFonts w:ascii="Times New Roman" w:hAnsi="Times New Roman"/>
          <w:sz w:val="24"/>
          <w:szCs w:val="24"/>
        </w:rPr>
        <w:t xml:space="preserve">'ye kadar düşmekte, bu atığın yaklaşık yarısı geri dönüşümlü olarak tekrar tekrar kullanılmaktadır. Artan çöp yığınlarının yerleşim alanlarına kadar ulaşması, yığınlardan yayılan pis koku ve hastalıkların üzerine bir de ekonomik kayıp eklenince önlem almak kaçınılmaz hale gelmiştir. </w:t>
      </w:r>
      <w:bookmarkStart w:id="27" w:name="OLE_LINK10"/>
      <w:r w:rsidRPr="00D6441B">
        <w:rPr>
          <w:rFonts w:ascii="Times New Roman" w:hAnsi="Times New Roman"/>
          <w:sz w:val="24"/>
          <w:szCs w:val="24"/>
        </w:rPr>
        <w:t xml:space="preserve">İstanbul’da günlük toplanan 14 bin ton çöpün depolama alanlarına yönlendirilmesi ve depolanması çok ciddi bir maliyet oluşturmaktadır. </w:t>
      </w:r>
      <w:bookmarkEnd w:id="27"/>
      <w:r w:rsidRPr="00D6441B">
        <w:rPr>
          <w:rFonts w:ascii="Times New Roman" w:hAnsi="Times New Roman"/>
          <w:sz w:val="24"/>
          <w:szCs w:val="24"/>
        </w:rPr>
        <w:t>Çöpü geri dönüştürebildiğimiz ölçüde, ekonomiye olan katkı da büyük ölçekte artacaktır. 2023 yılında İstanbul’un çöplerinin büyük kısmının enerji ve gübre haline getirilerek depolama alanlarına gönderilen miktarın büyük ölçüde azaltılması ve çöp konusunda İstanbul’a ekonomik fayda sağlanması hedeflenmiştir.</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 xml:space="preserve">İstanbul’da ilçe belediyeleri tarafından toplanan </w:t>
      </w:r>
      <w:smartTag w:uri="urn:schemas-microsoft-com:office:smarttags" w:element="PersonName">
        <w:r w:rsidRPr="00D6441B">
          <w:rPr>
            <w:rFonts w:ascii="Times New Roman" w:hAnsi="Times New Roman"/>
            <w:sz w:val="24"/>
            <w:szCs w:val="24"/>
          </w:rPr>
          <w:t>ev</w:t>
        </w:r>
      </w:smartTag>
      <w:r w:rsidRPr="00D6441B">
        <w:rPr>
          <w:rFonts w:ascii="Times New Roman" w:hAnsi="Times New Roman"/>
          <w:sz w:val="24"/>
          <w:szCs w:val="24"/>
        </w:rPr>
        <w:t xml:space="preserve">sel katı atıklar aktarma istasyonlarına getirilmekte, sıkıştırılmakta, sonrasında tesise getirilen atıkların organik kısmı belirli işlemlerden geçirildikten sonra kompost haline getirilmekte, geri dönüşümü mümkün olmayan atıklar ise tekrar depolama alanlarına gönderilmektedir. Bu da ilave nakliye ve depolama masrafları oluşturmaktadır. Bu sorunlara çözüm getirebilecek yeni bir uygulama ise, geri kazanımı uygun olmayan </w:t>
      </w:r>
      <w:r w:rsidRPr="00D6441B">
        <w:rPr>
          <w:rFonts w:ascii="Times New Roman" w:hAnsi="Times New Roman"/>
          <w:sz w:val="24"/>
          <w:szCs w:val="24"/>
        </w:rPr>
        <w:lastRenderedPageBreak/>
        <w:t>atıkların alternatif yakıt olarak kullanılmasıdır (Yıldız vd., 2009).</w:t>
      </w:r>
      <w:bookmarkStart w:id="28" w:name="_Hlk220832889"/>
      <w:r w:rsidRPr="00D6441B">
        <w:rPr>
          <w:rFonts w:ascii="Times New Roman" w:hAnsi="Times New Roman"/>
          <w:sz w:val="24"/>
          <w:szCs w:val="24"/>
        </w:rPr>
        <w:t xml:space="preserve"> </w:t>
      </w:r>
      <w:bookmarkEnd w:id="28"/>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Dünyada yapılan çalışmalara baktığımızda Almanya’da BEUMER Maschinenfabrik GmbH tarafından yapılan bir çalışmada alternatif yakıtların çimento endüstrisinde kullanılması için geliştirdiği sistem teknolojisinde</w:t>
      </w:r>
      <w:r w:rsidRPr="00D6441B">
        <w:rPr>
          <w:rFonts w:ascii="Times New Roman" w:hAnsi="Times New Roman"/>
          <w:b/>
          <w:sz w:val="24"/>
          <w:szCs w:val="24"/>
        </w:rPr>
        <w:t xml:space="preserve"> </w:t>
      </w:r>
      <w:r w:rsidRPr="00D6441B">
        <w:rPr>
          <w:rFonts w:ascii="Times New Roman" w:hAnsi="Times New Roman"/>
          <w:sz w:val="24"/>
          <w:szCs w:val="24"/>
        </w:rPr>
        <w:t xml:space="preserve">% 25 oranında ikincil yakıt kullanılabilirken, </w:t>
      </w:r>
      <w:r w:rsidRPr="00D6441B">
        <w:rPr>
          <w:rFonts w:ascii="Times New Roman" w:hAnsi="Times New Roman"/>
          <w:bCs/>
          <w:sz w:val="24"/>
          <w:szCs w:val="24"/>
        </w:rPr>
        <w:t xml:space="preserve">İtalya </w:t>
      </w:r>
      <w:r w:rsidRPr="00D6441B">
        <w:rPr>
          <w:rFonts w:ascii="Times New Roman" w:hAnsi="Times New Roman"/>
          <w:sz w:val="24"/>
          <w:szCs w:val="24"/>
        </w:rPr>
        <w:t xml:space="preserve">Politecnico di Milano Istituto di Milano’da yapılan araştırmada </w:t>
      </w:r>
      <w:r w:rsidRPr="00D6441B">
        <w:rPr>
          <w:rFonts w:ascii="Times New Roman" w:hAnsi="Times New Roman"/>
          <w:bCs/>
          <w:sz w:val="24"/>
          <w:szCs w:val="24"/>
        </w:rPr>
        <w:t>maksimum RDF oranının % 14–28 civarında olduğu tespit edilmiştir.</w:t>
      </w:r>
      <w:r w:rsidRPr="00D6441B">
        <w:rPr>
          <w:rFonts w:ascii="Times New Roman" w:hAnsi="Times New Roman"/>
          <w:sz w:val="24"/>
          <w:szCs w:val="24"/>
        </w:rPr>
        <w:t xml:space="preserve"> </w:t>
      </w:r>
      <w:r w:rsidRPr="00D6441B">
        <w:rPr>
          <w:rFonts w:ascii="Times New Roman" w:hAnsi="Times New Roman"/>
          <w:bCs/>
          <w:sz w:val="24"/>
          <w:szCs w:val="24"/>
        </w:rPr>
        <w:t>İngiltere Imperial College of Science’da yapılan çalışmada RDF besleme oranın % 30’dan fazla olmaması gerektiği belirtilmiştir. Amerika Teksas’ta bulunan Gulf Coast Portland Çimento Şirketi’nin yaptığı çalışmada ise, % 40 RDF beslendiğinde çimento ürününün mukavemetinde azalmaya rastlanmış olup; toplam partikül emisyonları, EPA’nın Yeni Kaynak Performans Standartlarına uygunluk göstermiştir. Bu da demek oluyor ki her ülkenin atık kompozisyonu farklı olduğundan ötürü RDF beslenme oranı da değişkenlik göstermektedir.</w:t>
      </w:r>
    </w:p>
    <w:p w:rsidR="001F5FA8" w:rsidRPr="00EC400F" w:rsidRDefault="001F5FA8" w:rsidP="001F5FA8">
      <w:pPr>
        <w:spacing w:before="120" w:after="120" w:line="240" w:lineRule="auto"/>
        <w:jc w:val="both"/>
        <w:rPr>
          <w:rFonts w:ascii="Times New Roman" w:eastAsia="Calibri" w:hAnsi="Times New Roman"/>
          <w:color w:val="FF0000"/>
          <w:sz w:val="24"/>
          <w:szCs w:val="24"/>
        </w:rPr>
      </w:pPr>
      <w:r w:rsidRPr="00D6441B">
        <w:rPr>
          <w:rFonts w:ascii="Times New Roman" w:eastAsia="Calibri" w:hAnsi="Times New Roman"/>
          <w:sz w:val="24"/>
          <w:szCs w:val="24"/>
        </w:rPr>
        <w:t>Türkiye yakın bir tarihte Kyoto Protokol’üne imza atarak emisyon sorunu ve alternatif yakıt kullanımı konusuna daha fazla önem verdiğini belgelemiştir. Kyoto Protokolü, gelişmiş ülkelerin sera gazı emisyonlarını, 2008–2012 yılları arasında, 1990 yılına göre yüzde 5,2 oranında düşürmelerini hedeflemektedir. Kyoto Protokolü'nün temel amacı, atmosferdeki sera gazı yoğunluğunun, iklimi tehdit etmeyecek s</w:t>
      </w:r>
      <w:smartTag w:uri="urn:schemas-microsoft-com:office:smarttags" w:element="PersonName">
        <w:r w:rsidRPr="00D6441B">
          <w:rPr>
            <w:rFonts w:ascii="Times New Roman" w:eastAsia="Calibri" w:hAnsi="Times New Roman"/>
            <w:sz w:val="24"/>
            <w:szCs w:val="24"/>
          </w:rPr>
          <w:t>ev</w:t>
        </w:r>
      </w:smartTag>
      <w:r w:rsidRPr="00D6441B">
        <w:rPr>
          <w:rFonts w:ascii="Times New Roman" w:eastAsia="Calibri" w:hAnsi="Times New Roman"/>
          <w:sz w:val="24"/>
          <w:szCs w:val="24"/>
        </w:rPr>
        <w:t xml:space="preserve">iyelerde dengede kalmasını sağlamaktır. Hükümetler arası İklim Değişikliği Paneli'nde, 1990 ile 2100 yılları arasında dünya sıcaklığının 1,4 ile </w:t>
      </w:r>
      <w:smartTag w:uri="urn:schemas-microsoft-com:office:smarttags" w:element="metricconverter">
        <w:smartTagPr>
          <w:attr w:name="ProductID" w:val="5,8 ﾰC"/>
        </w:smartTagPr>
        <w:r w:rsidRPr="00D6441B">
          <w:rPr>
            <w:rFonts w:ascii="Times New Roman" w:eastAsia="Calibri" w:hAnsi="Times New Roman"/>
            <w:sz w:val="24"/>
            <w:szCs w:val="24"/>
          </w:rPr>
          <w:t>5,8 °C</w:t>
        </w:r>
      </w:smartTag>
      <w:r w:rsidRPr="00D6441B">
        <w:rPr>
          <w:rFonts w:ascii="Times New Roman" w:eastAsia="Calibri" w:hAnsi="Times New Roman"/>
          <w:sz w:val="24"/>
          <w:szCs w:val="24"/>
        </w:rPr>
        <w:t xml:space="preserve"> arasında artacağı yönünde tahminler yapılmıştır. Kyoto Protokolü'nün başarıyla uygulanabilmesi durumunda, 1990 ile 2100 yılları arasında, </w:t>
      </w:r>
      <w:r w:rsidRPr="00D6441B">
        <w:rPr>
          <w:rFonts w:ascii="Times New Roman" w:eastAsia="Calibri" w:hAnsi="Times New Roman"/>
          <w:sz w:val="24"/>
          <w:szCs w:val="24"/>
        </w:rPr>
        <w:lastRenderedPageBreak/>
        <w:t xml:space="preserve">dünya sıcaklık artışının 0,02 ile </w:t>
      </w:r>
      <w:smartTag w:uri="urn:schemas-microsoft-com:office:smarttags" w:element="metricconverter">
        <w:smartTagPr>
          <w:attr w:name="ProductID" w:val="0,28 ﾰC"/>
        </w:smartTagPr>
        <w:r w:rsidRPr="00D6441B">
          <w:rPr>
            <w:rFonts w:ascii="Times New Roman" w:eastAsia="Calibri" w:hAnsi="Times New Roman"/>
            <w:sz w:val="24"/>
            <w:szCs w:val="24"/>
          </w:rPr>
          <w:t>0,28 °C</w:t>
        </w:r>
      </w:smartTag>
      <w:r w:rsidRPr="00D6441B">
        <w:rPr>
          <w:rFonts w:ascii="Times New Roman" w:eastAsia="Calibri" w:hAnsi="Times New Roman"/>
          <w:sz w:val="24"/>
          <w:szCs w:val="24"/>
        </w:rPr>
        <w:t xml:space="preserve"> arasında olacağı tahmin edilmektedir. Kyoto Protokolü'ne göre gelişmiş ülkeler, 2008 ile 2012 yılları arasında sera gazı emisyonlarını 1990 yılına göre yüzde 5,2 düşürebilmek için demir-çelik, çimento, kağıt, enerji santralleri gibi belirli sanayi kuruluşlarına sınırlamalar koymuştur. Bu sınırlamalar, Avrupa Birliği ülkelerinde uygulanmaya başlanmış olup, sera gazı emisyonları yüksek olan ülkelerde de d</w:t>
      </w:r>
      <w:smartTag w:uri="urn:schemas-microsoft-com:office:smarttags" w:element="PersonName">
        <w:r w:rsidRPr="00D6441B">
          <w:rPr>
            <w:rFonts w:ascii="Times New Roman" w:eastAsia="Calibri" w:hAnsi="Times New Roman"/>
            <w:sz w:val="24"/>
            <w:szCs w:val="24"/>
          </w:rPr>
          <w:t>ev</w:t>
        </w:r>
      </w:smartTag>
      <w:r w:rsidRPr="00D6441B">
        <w:rPr>
          <w:rFonts w:ascii="Times New Roman" w:eastAsia="Calibri" w:hAnsi="Times New Roman"/>
          <w:sz w:val="24"/>
          <w:szCs w:val="24"/>
        </w:rPr>
        <w:t>reye alınmaya çalışılmaktadır.</w:t>
      </w:r>
      <w:r w:rsidRPr="00D6441B">
        <w:rPr>
          <w:rFonts w:ascii="Times New Roman" w:hAnsi="Times New Roman"/>
          <w:color w:val="FF0000"/>
          <w:spacing w:val="-3"/>
          <w:sz w:val="24"/>
          <w:szCs w:val="24"/>
        </w:rPr>
        <w:t xml:space="preserve"> </w:t>
      </w:r>
    </w:p>
    <w:p w:rsidR="001F5FA8" w:rsidRPr="00D6441B" w:rsidRDefault="001F5FA8" w:rsidP="001F5FA8">
      <w:pPr>
        <w:spacing w:before="120" w:after="120" w:line="240" w:lineRule="auto"/>
        <w:jc w:val="both"/>
        <w:rPr>
          <w:rFonts w:ascii="Times New Roman" w:eastAsia="Calibri" w:hAnsi="Times New Roman"/>
          <w:sz w:val="24"/>
          <w:szCs w:val="24"/>
        </w:rPr>
      </w:pPr>
      <w:r w:rsidRPr="00D6441B">
        <w:rPr>
          <w:rFonts w:ascii="Times New Roman" w:eastAsia="Calibri" w:hAnsi="Times New Roman"/>
          <w:sz w:val="24"/>
          <w:szCs w:val="24"/>
        </w:rPr>
        <w:t xml:space="preserve">Avrupa Birliğine uyum çalışmaları kapsamında, katı atıkların alternatif yakıt olarak kullanımı daha da önem kazanmaktadır. Bu kapsamda katı atıkların en çok bertaraf edileceği alan ise çimento sanayisi olarak görülmektedir. Alternatif yakıtların klinker üretiminde ek yakıt olarak kullanılması durumunda hem fosil yakıtların daha az tüketilmesi hem de katı atıkların bertaraf edilmesi hedeflenmektedir. Bu hedef doğrultusunda “Geri Dönüşümlü Plastik Atıkların Granül Ürüne Dönüştürülmesi ve Geri Dönüştürülemeyen Diğer Atıkların Çimento Fabrikalarında Ek Yakıt Olarak Kullanılabilirliğinin Araştırılması” konulu TÜBİTAK destekli proje kapsamında çöpten ek yakıt elde edilmesi ve bunun çimento fırınlarında kullanımı araştırılmıştır. </w:t>
      </w:r>
      <w:r w:rsidRPr="00D6441B">
        <w:rPr>
          <w:rFonts w:ascii="Times New Roman" w:hAnsi="Times New Roman"/>
          <w:sz w:val="24"/>
          <w:szCs w:val="24"/>
        </w:rPr>
        <w:t xml:space="preserve">Bu proje kapsamında, Türkiye’de yürürlükte olan tebliğ ve yönetmeliklerdeki emisyon sınır değerlerini aşmayacak ve üretilen klinkerin ve buna bağlı olarak çimentonun kalitesini bozmayacak şekilde optimum RDF besleme oranının belirlenmesi öngörülmüştür. </w:t>
      </w:r>
    </w:p>
    <w:p w:rsidR="001F5FA8" w:rsidRPr="00D6441B" w:rsidRDefault="001F5FA8" w:rsidP="001F5FA8">
      <w:pPr>
        <w:autoSpaceDE w:val="0"/>
        <w:autoSpaceDN w:val="0"/>
        <w:adjustRightInd w:val="0"/>
        <w:spacing w:before="120" w:after="120" w:line="240" w:lineRule="auto"/>
        <w:jc w:val="both"/>
        <w:rPr>
          <w:rFonts w:ascii="Times New Roman" w:eastAsia="Calibri" w:hAnsi="Times New Roman"/>
          <w:sz w:val="24"/>
          <w:szCs w:val="24"/>
        </w:rPr>
      </w:pPr>
      <w:r w:rsidRPr="00D6441B">
        <w:rPr>
          <w:rFonts w:ascii="Times New Roman" w:eastAsia="Calibri" w:hAnsi="Times New Roman"/>
          <w:sz w:val="24"/>
          <w:szCs w:val="24"/>
        </w:rPr>
        <w:t xml:space="preserve">RDF’nin çimento döner fırınlarında ek yakıt olarak kullanımına yönelik pilot ölçekli çalışmalarda proje kapsamında imal edilen pilot ölçekli çimento döner fırınında gerçekleştirilmiştir. </w:t>
      </w:r>
      <w:bookmarkStart w:id="29" w:name="OLE_LINK8"/>
      <w:r w:rsidRPr="00D6441B">
        <w:rPr>
          <w:rFonts w:ascii="Times New Roman" w:eastAsia="Calibri" w:hAnsi="Times New Roman"/>
          <w:sz w:val="24"/>
          <w:szCs w:val="24"/>
        </w:rPr>
        <w:t xml:space="preserve">Birincil yakıt olarak kullanılan LPG’ye değişik oranlarda RDF ilave edilmiş, çimento üretim sürecine göre farinden </w:t>
      </w:r>
      <w:r w:rsidRPr="00D6441B">
        <w:rPr>
          <w:rFonts w:ascii="Times New Roman" w:eastAsia="Calibri" w:hAnsi="Times New Roman"/>
          <w:sz w:val="24"/>
          <w:szCs w:val="24"/>
        </w:rPr>
        <w:lastRenderedPageBreak/>
        <w:t xml:space="preserve">klinker üretimi gerçekleştirilmiştir. Bu çalışmada RDF katkısının klinker yapısı üzerine etkisi incelenmiş ve burada elde edilen teorik ve pratik </w:t>
      </w:r>
      <w:smartTag w:uri="urn:schemas-microsoft-com:office:smarttags" w:element="PersonName">
        <w:r w:rsidRPr="00D6441B">
          <w:rPr>
            <w:rFonts w:ascii="Times New Roman" w:eastAsia="Calibri" w:hAnsi="Times New Roman"/>
            <w:sz w:val="24"/>
            <w:szCs w:val="24"/>
          </w:rPr>
          <w:t>bilgi</w:t>
        </w:r>
      </w:smartTag>
      <w:r w:rsidRPr="00D6441B">
        <w:rPr>
          <w:rFonts w:ascii="Times New Roman" w:eastAsia="Calibri" w:hAnsi="Times New Roman"/>
          <w:sz w:val="24"/>
          <w:szCs w:val="24"/>
        </w:rPr>
        <w:t>ler ışığı altında endüstriyel boyutta klinker üretimi çalışmaları organize edilmiştir</w:t>
      </w:r>
      <w:bookmarkEnd w:id="29"/>
      <w:r w:rsidRPr="00D6441B">
        <w:rPr>
          <w:rFonts w:ascii="Times New Roman" w:eastAsia="Calibri" w:hAnsi="Times New Roman"/>
          <w:sz w:val="24"/>
          <w:szCs w:val="24"/>
        </w:rPr>
        <w:t xml:space="preserve">. Endüstriyel boyuttaki çalışmalarda değişik oranlarda RDF malzemesi, petrokoka ek yakıt olarak ilave edilmiştir. Deney sonrası üretilen klinkerin yoğunluk, kimyasal ve mineralojik analiz sonuçları incelendiğinde, Portland çimento klinkerinin üretildiği görülmüştür. Daha sonra bu klinkerden üretilen çimentonun fiziksel, kimyasal ve dayanım özellikleri belirlenmiş olup elde edilen değerlerin standartlarda belirtilen sınır değerlerle uyumlu olduğu görülmüştür. Endüstriyel boyuttaki çalışmalar esnasında baca gazında emisyon ölçümü yapılmış ve ölçüm sonuçları Atıkların Yakılmasına İlişkin Yönetmelik’te belirtilen sınır değerlerle kıyaslanmıştır. </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2. DENEYSEL ÇALIŞMALAR</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outlineLvl w:val="0"/>
        <w:rPr>
          <w:rFonts w:ascii="Times New Roman" w:hAnsi="Times New Roman"/>
          <w:b/>
          <w:sz w:val="24"/>
          <w:szCs w:val="24"/>
        </w:rPr>
      </w:pPr>
      <w:r w:rsidRPr="00D6441B">
        <w:rPr>
          <w:rFonts w:ascii="Times New Roman" w:hAnsi="Times New Roman"/>
          <w:b/>
          <w:sz w:val="24"/>
          <w:szCs w:val="24"/>
        </w:rPr>
        <w:t>2.1. RDF ve Üretimi</w:t>
      </w:r>
    </w:p>
    <w:p w:rsidR="001F5FA8" w:rsidRPr="00D6441B" w:rsidRDefault="001F5FA8" w:rsidP="001F5FA8">
      <w:pPr>
        <w:spacing w:before="120" w:after="120" w:line="240" w:lineRule="auto"/>
        <w:ind w:right="-108"/>
        <w:jc w:val="both"/>
        <w:rPr>
          <w:rFonts w:ascii="Times New Roman" w:hAnsi="Times New Roman"/>
          <w:sz w:val="24"/>
          <w:szCs w:val="24"/>
        </w:rPr>
      </w:pPr>
      <w:r w:rsidRPr="00D6441B">
        <w:rPr>
          <w:rFonts w:ascii="Times New Roman" w:hAnsi="Times New Roman"/>
          <w:sz w:val="24"/>
          <w:szCs w:val="24"/>
        </w:rPr>
        <w:t xml:space="preserve">Atıktan türetilen yakıt  (refuse derived fuel-RDF) </w:t>
      </w:r>
      <w:smartTag w:uri="urn:schemas-microsoft-com:office:smarttags" w:element="PersonName">
        <w:r w:rsidRPr="00D6441B">
          <w:rPr>
            <w:rFonts w:ascii="Times New Roman" w:hAnsi="Times New Roman"/>
            <w:sz w:val="24"/>
            <w:szCs w:val="24"/>
          </w:rPr>
          <w:t>ev</w:t>
        </w:r>
      </w:smartTag>
      <w:r w:rsidRPr="00D6441B">
        <w:rPr>
          <w:rFonts w:ascii="Times New Roman" w:hAnsi="Times New Roman"/>
          <w:sz w:val="24"/>
          <w:szCs w:val="24"/>
        </w:rPr>
        <w:t>sel ya da endüstriyel katı atıklardan geri kazanılabilen malzemelerin (plastik, cam, metal, kâğıt, vs...) ayrıştırılmasından sonra geriye kalan yanabilir geri dönüşümsüz malzemeden elde edilen alternatif bir tür katı yakıttır. Nihai olarak elde edilen parçalanmış atıklardan oluşan ve kalorifik (ısıl) değeri yaklaşık 3500 kcal/kg olan atıklar çimento fabrikalarında kullanılacak fiziksel büyüklüğe indirilmek üzere son parçalayıcıda kıyılarak hazır hale getirilmektedir. Proje kapsamında üretilen RDF’nin üretim şeması Şekil 1’de ve atıkların geri kazanımı konusundaki firmanın akım şeması Şekil 2’de verilmiştir.</w:t>
      </w:r>
    </w:p>
    <w:p w:rsidR="00273EA0" w:rsidRDefault="00273EA0" w:rsidP="001F5FA8">
      <w:pPr>
        <w:spacing w:before="120" w:after="120" w:line="240" w:lineRule="auto"/>
        <w:ind w:right="-108"/>
        <w:jc w:val="center"/>
        <w:rPr>
          <w:rFonts w:ascii="Times New Roman" w:hAnsi="Times New Roman"/>
          <w:sz w:val="24"/>
          <w:szCs w:val="24"/>
        </w:rPr>
        <w:sectPr w:rsidR="00273EA0" w:rsidSect="00E230BE">
          <w:type w:val="continuous"/>
          <w:pgSz w:w="11906" w:h="16838"/>
          <w:pgMar w:top="1417" w:right="849" w:bottom="1417" w:left="1134" w:header="708" w:footer="340" w:gutter="0"/>
          <w:cols w:num="2" w:space="708"/>
          <w:docGrid w:linePitch="360"/>
        </w:sectPr>
      </w:pPr>
    </w:p>
    <w:p w:rsidR="001F5FA8" w:rsidRPr="00D6441B" w:rsidRDefault="001F5FA8" w:rsidP="001F5FA8">
      <w:pPr>
        <w:spacing w:before="120" w:after="120" w:line="240" w:lineRule="auto"/>
        <w:ind w:right="-108"/>
        <w:jc w:val="center"/>
        <w:rPr>
          <w:rFonts w:ascii="Times New Roman" w:hAnsi="Times New Roman"/>
          <w:sz w:val="24"/>
          <w:szCs w:val="24"/>
        </w:rPr>
      </w:pPr>
      <w:r>
        <w:rPr>
          <w:rFonts w:ascii="Times New Roman" w:hAnsi="Times New Roman"/>
          <w:noProof/>
          <w:color w:val="555555"/>
          <w:sz w:val="24"/>
          <w:szCs w:val="24"/>
          <w:lang w:val="en-AU" w:eastAsia="en-AU"/>
        </w:rPr>
        <w:lastRenderedPageBreak/>
        <w:drawing>
          <wp:inline distT="0" distB="0" distL="0" distR="0">
            <wp:extent cx="5133975" cy="3086100"/>
            <wp:effectExtent l="19050" t="19050" r="28575" b="19050"/>
            <wp:docPr id="165" name="Resim 165" descr="cid:image003.gif@01CA4900.4B04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id:image003.gif@01CA4900.4B044880"/>
                    <pic:cNvPicPr>
                      <a:picLocks noChangeAspect="1" noChangeArrowheads="1"/>
                    </pic:cNvPicPr>
                  </pic:nvPicPr>
                  <pic:blipFill>
                    <a:blip r:embed="rId33" r:link="rId34" cstate="print"/>
                    <a:srcRect/>
                    <a:stretch>
                      <a:fillRect/>
                    </a:stretch>
                  </pic:blipFill>
                  <pic:spPr bwMode="auto">
                    <a:xfrm>
                      <a:off x="0" y="0"/>
                      <a:ext cx="5133975" cy="3086100"/>
                    </a:xfrm>
                    <a:prstGeom prst="rect">
                      <a:avLst/>
                    </a:prstGeom>
                    <a:noFill/>
                    <a:ln w="6350" cmpd="sng">
                      <a:solidFill>
                        <a:srgbClr val="000000"/>
                      </a:solidFill>
                      <a:miter lim="800000"/>
                      <a:headEnd/>
                      <a:tailEnd/>
                    </a:ln>
                    <a:effectLst/>
                  </pic:spPr>
                </pic:pic>
              </a:graphicData>
            </a:graphic>
          </wp:inline>
        </w:drawing>
      </w:r>
    </w:p>
    <w:p w:rsidR="001F5FA8" w:rsidRDefault="001F5FA8" w:rsidP="001F5FA8">
      <w:pPr>
        <w:autoSpaceDE w:val="0"/>
        <w:autoSpaceDN w:val="0"/>
        <w:adjustRightInd w:val="0"/>
        <w:spacing w:before="120" w:after="120" w:line="240" w:lineRule="auto"/>
        <w:jc w:val="center"/>
        <w:outlineLvl w:val="0"/>
        <w:rPr>
          <w:rFonts w:ascii="Times New Roman" w:hAnsi="Times New Roman"/>
          <w:sz w:val="24"/>
          <w:szCs w:val="24"/>
        </w:rPr>
      </w:pPr>
      <w:r w:rsidRPr="00D6441B">
        <w:rPr>
          <w:rFonts w:ascii="Times New Roman" w:hAnsi="Times New Roman"/>
          <w:b/>
          <w:sz w:val="24"/>
          <w:szCs w:val="24"/>
        </w:rPr>
        <w:t>Şekil 1.</w:t>
      </w:r>
      <w:r w:rsidRPr="00D6441B">
        <w:rPr>
          <w:rFonts w:ascii="Times New Roman" w:hAnsi="Times New Roman"/>
          <w:sz w:val="24"/>
          <w:szCs w:val="24"/>
        </w:rPr>
        <w:t xml:space="preserve"> Atıkların geri kazanımı akım şeması.</w:t>
      </w:r>
    </w:p>
    <w:p w:rsidR="00273EA0" w:rsidRDefault="00273EA0" w:rsidP="001F5FA8">
      <w:pPr>
        <w:autoSpaceDE w:val="0"/>
        <w:autoSpaceDN w:val="0"/>
        <w:adjustRightInd w:val="0"/>
        <w:spacing w:before="120" w:after="120" w:line="240" w:lineRule="auto"/>
        <w:jc w:val="center"/>
        <w:outlineLvl w:val="0"/>
        <w:rPr>
          <w:rFonts w:ascii="Times New Roman" w:hAnsi="Times New Roman"/>
          <w:sz w:val="24"/>
          <w:szCs w:val="24"/>
        </w:rPr>
        <w:sectPr w:rsidR="00273EA0" w:rsidSect="00E230BE">
          <w:type w:val="continuous"/>
          <w:pgSz w:w="11906" w:h="16838"/>
          <w:pgMar w:top="1417" w:right="849" w:bottom="1417" w:left="1134" w:header="708" w:footer="340" w:gutter="0"/>
          <w:cols w:space="708"/>
          <w:docGrid w:linePitch="360"/>
        </w:sectPr>
      </w:pPr>
    </w:p>
    <w:p w:rsidR="001F5FA8" w:rsidRPr="00D6441B" w:rsidRDefault="001F5FA8" w:rsidP="001F5FA8">
      <w:pPr>
        <w:autoSpaceDE w:val="0"/>
        <w:autoSpaceDN w:val="0"/>
        <w:adjustRightInd w:val="0"/>
        <w:spacing w:before="120" w:after="120" w:line="240" w:lineRule="auto"/>
        <w:jc w:val="center"/>
        <w:outlineLvl w:val="0"/>
        <w:rPr>
          <w:rFonts w:ascii="Times New Roman" w:hAnsi="Times New Roman"/>
          <w:sz w:val="24"/>
          <w:szCs w:val="24"/>
        </w:rPr>
      </w:pPr>
    </w:p>
    <w:p w:rsidR="001F5FA8" w:rsidRPr="00D6441B" w:rsidRDefault="001F5FA8" w:rsidP="001F5FA8">
      <w:pPr>
        <w:spacing w:before="120" w:after="120" w:line="240" w:lineRule="auto"/>
        <w:jc w:val="center"/>
        <w:rPr>
          <w:rFonts w:ascii="Times New Roman" w:hAnsi="Times New Roman"/>
          <w:sz w:val="24"/>
          <w:szCs w:val="24"/>
        </w:rPr>
      </w:pPr>
      <w:r>
        <w:rPr>
          <w:rFonts w:ascii="Times New Roman" w:hAnsi="Times New Roman"/>
          <w:noProof/>
          <w:sz w:val="24"/>
          <w:szCs w:val="24"/>
          <w:lang w:val="en-AU" w:eastAsia="en-AU"/>
        </w:rPr>
        <w:drawing>
          <wp:inline distT="0" distB="0" distL="0" distR="0">
            <wp:extent cx="2409825" cy="1800225"/>
            <wp:effectExtent l="19050" t="19050" r="28575" b="28575"/>
            <wp:docPr id="166" name="Resim 1" descr="CIMG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IMG1843"/>
                    <pic:cNvPicPr>
                      <a:picLocks noChangeAspect="1" noChangeArrowheads="1"/>
                    </pic:cNvPicPr>
                  </pic:nvPicPr>
                  <pic:blipFill>
                    <a:blip r:embed="rId35" cstate="print"/>
                    <a:srcRect/>
                    <a:stretch>
                      <a:fillRect/>
                    </a:stretch>
                  </pic:blipFill>
                  <pic:spPr bwMode="auto">
                    <a:xfrm>
                      <a:off x="0" y="0"/>
                      <a:ext cx="2409825" cy="1800225"/>
                    </a:xfrm>
                    <a:prstGeom prst="rect">
                      <a:avLst/>
                    </a:prstGeom>
                    <a:noFill/>
                    <a:ln w="19050" cmpd="sng">
                      <a:solidFill>
                        <a:srgbClr val="000000"/>
                      </a:solidFill>
                      <a:miter lim="800000"/>
                      <a:headEnd/>
                      <a:tailEnd/>
                    </a:ln>
                    <a:effectLst/>
                  </pic:spPr>
                </pic:pic>
              </a:graphicData>
            </a:graphic>
          </wp:inline>
        </w:drawing>
      </w:r>
    </w:p>
    <w:p w:rsidR="001F5FA8" w:rsidRDefault="001F5FA8" w:rsidP="001F5FA8">
      <w:pPr>
        <w:spacing w:before="120" w:after="120" w:line="240" w:lineRule="auto"/>
        <w:jc w:val="center"/>
        <w:outlineLvl w:val="0"/>
        <w:rPr>
          <w:rFonts w:ascii="Times New Roman" w:hAnsi="Times New Roman"/>
          <w:sz w:val="24"/>
          <w:szCs w:val="24"/>
        </w:rPr>
      </w:pPr>
      <w:r w:rsidRPr="00D6441B">
        <w:rPr>
          <w:rFonts w:ascii="Times New Roman" w:hAnsi="Times New Roman"/>
          <w:b/>
          <w:sz w:val="24"/>
          <w:szCs w:val="24"/>
        </w:rPr>
        <w:t>Şekil 2.</w:t>
      </w:r>
      <w:r w:rsidRPr="00D6441B">
        <w:rPr>
          <w:rFonts w:ascii="Times New Roman" w:hAnsi="Times New Roman"/>
          <w:sz w:val="24"/>
          <w:szCs w:val="24"/>
        </w:rPr>
        <w:t xml:space="preserve"> RDF’nin görüntüsü</w:t>
      </w:r>
    </w:p>
    <w:p w:rsidR="001F5FA8" w:rsidRPr="00D6441B" w:rsidRDefault="001F5FA8" w:rsidP="001F5FA8">
      <w:pPr>
        <w:spacing w:before="120" w:after="120" w:line="240" w:lineRule="auto"/>
        <w:jc w:val="center"/>
        <w:outlineLvl w:val="0"/>
        <w:rPr>
          <w:rFonts w:ascii="Times New Roman" w:hAnsi="Times New Roman"/>
          <w:sz w:val="24"/>
          <w:szCs w:val="24"/>
        </w:rPr>
      </w:pPr>
    </w:p>
    <w:p w:rsidR="00CC43FF" w:rsidRDefault="00CC43FF" w:rsidP="001F5FA8">
      <w:pPr>
        <w:spacing w:before="120" w:after="120" w:line="240" w:lineRule="auto"/>
        <w:jc w:val="both"/>
        <w:outlineLvl w:val="0"/>
        <w:rPr>
          <w:rFonts w:ascii="Times New Roman" w:hAnsi="Times New Roman"/>
          <w:b/>
          <w:sz w:val="24"/>
          <w:szCs w:val="24"/>
        </w:rPr>
      </w:pPr>
    </w:p>
    <w:p w:rsidR="00CC43FF" w:rsidRDefault="00CC43FF" w:rsidP="001F5FA8">
      <w:pPr>
        <w:spacing w:before="120" w:after="120" w:line="240" w:lineRule="auto"/>
        <w:jc w:val="both"/>
        <w:outlineLvl w:val="0"/>
        <w:rPr>
          <w:rFonts w:ascii="Times New Roman" w:hAnsi="Times New Roman"/>
          <w:b/>
          <w:sz w:val="24"/>
          <w:szCs w:val="24"/>
        </w:rPr>
      </w:pPr>
    </w:p>
    <w:p w:rsidR="001F5FA8" w:rsidRPr="00D6441B" w:rsidRDefault="001F5FA8" w:rsidP="001F5FA8">
      <w:pPr>
        <w:spacing w:before="120" w:after="120" w:line="240" w:lineRule="auto"/>
        <w:jc w:val="both"/>
        <w:outlineLvl w:val="0"/>
        <w:rPr>
          <w:rFonts w:ascii="Times New Roman" w:hAnsi="Times New Roman"/>
          <w:b/>
          <w:sz w:val="24"/>
          <w:szCs w:val="24"/>
        </w:rPr>
      </w:pPr>
      <w:r w:rsidRPr="00D6441B">
        <w:rPr>
          <w:rFonts w:ascii="Times New Roman" w:hAnsi="Times New Roman"/>
          <w:b/>
          <w:sz w:val="24"/>
          <w:szCs w:val="24"/>
        </w:rPr>
        <w:t>2.2. ÇİMENTO ÜRETİM ÇALIŞMALARI</w:t>
      </w:r>
    </w:p>
    <w:p w:rsidR="001F5FA8" w:rsidRPr="00D6441B" w:rsidRDefault="001F5FA8" w:rsidP="001F5FA8">
      <w:pPr>
        <w:spacing w:before="120" w:after="120" w:line="240" w:lineRule="auto"/>
        <w:jc w:val="both"/>
        <w:rPr>
          <w:rFonts w:ascii="Times New Roman" w:hAnsi="Times New Roman"/>
          <w:b/>
          <w:sz w:val="24"/>
          <w:szCs w:val="24"/>
        </w:rPr>
      </w:pPr>
    </w:p>
    <w:p w:rsidR="001F5FA8" w:rsidRPr="00EC400F" w:rsidRDefault="001F5FA8" w:rsidP="001F5FA8">
      <w:pPr>
        <w:spacing w:before="120" w:after="120" w:line="240" w:lineRule="auto"/>
        <w:jc w:val="both"/>
        <w:outlineLvl w:val="0"/>
        <w:rPr>
          <w:rFonts w:ascii="Times New Roman" w:hAnsi="Times New Roman"/>
          <w:b/>
          <w:sz w:val="24"/>
          <w:szCs w:val="24"/>
        </w:rPr>
      </w:pPr>
      <w:r w:rsidRPr="00EC400F">
        <w:rPr>
          <w:rFonts w:ascii="Times New Roman" w:hAnsi="Times New Roman"/>
          <w:b/>
          <w:sz w:val="24"/>
          <w:szCs w:val="24"/>
        </w:rPr>
        <w:t>2.2.1. Pilot ölçekli denemeler</w:t>
      </w:r>
    </w:p>
    <w:p w:rsidR="00CC43FF" w:rsidRDefault="001F5FA8" w:rsidP="00CC43FF">
      <w:pPr>
        <w:spacing w:before="120" w:after="120" w:line="240" w:lineRule="auto"/>
        <w:jc w:val="both"/>
        <w:rPr>
          <w:rFonts w:ascii="Times New Roman" w:hAnsi="Times New Roman"/>
          <w:sz w:val="24"/>
          <w:szCs w:val="24"/>
        </w:rPr>
        <w:sectPr w:rsidR="00CC43FF" w:rsidSect="00273EA0">
          <w:type w:val="continuous"/>
          <w:pgSz w:w="11906" w:h="16838"/>
          <w:pgMar w:top="1417" w:right="849" w:bottom="1417" w:left="1134" w:header="708" w:footer="708" w:gutter="0"/>
          <w:cols w:num="2" w:space="708"/>
          <w:docGrid w:linePitch="360"/>
        </w:sectPr>
      </w:pPr>
      <w:r w:rsidRPr="00D6441B">
        <w:rPr>
          <w:rFonts w:ascii="Times New Roman" w:hAnsi="Times New Roman"/>
          <w:sz w:val="24"/>
          <w:szCs w:val="24"/>
        </w:rPr>
        <w:t xml:space="preserve">İSTAÇ A.Ş. Kemerburgaz tesislerinde bulunan pilot döner fırın kullanılarak enerji hesabından gidilerek değişik RDF oranlarında klinker üretilmiş ve üretilen klinkerin kimyasal ve mineralojik analizi yapılmış sonuçlar Tablo 1 ve 2’de verilmiştir. Tablo 1’den de görüldüğü gibi, analiz sonuçları Portland çimentosundaki sınır değerleri ile karşılaştırıldığında klinkerin başarılı bir şekilde üretilmiş olduğu görülmüştür. </w:t>
      </w:r>
    </w:p>
    <w:p w:rsidR="00990ABB" w:rsidRDefault="00990ABB" w:rsidP="001F5FA8">
      <w:pPr>
        <w:spacing w:before="120" w:after="120" w:line="240" w:lineRule="auto"/>
        <w:jc w:val="both"/>
        <w:outlineLvl w:val="0"/>
        <w:rPr>
          <w:rFonts w:ascii="Times New Roman" w:hAnsi="Times New Roman"/>
          <w:b/>
          <w:sz w:val="24"/>
          <w:szCs w:val="24"/>
        </w:rPr>
      </w:pPr>
    </w:p>
    <w:p w:rsidR="001F5FA8" w:rsidRPr="00D6441B" w:rsidRDefault="001F5FA8" w:rsidP="001F5FA8">
      <w:pPr>
        <w:spacing w:before="120" w:after="120" w:line="240" w:lineRule="auto"/>
        <w:jc w:val="both"/>
        <w:outlineLvl w:val="0"/>
        <w:rPr>
          <w:rFonts w:ascii="Times New Roman" w:hAnsi="Times New Roman"/>
          <w:sz w:val="24"/>
          <w:szCs w:val="24"/>
        </w:rPr>
      </w:pPr>
      <w:r w:rsidRPr="00D6441B">
        <w:rPr>
          <w:rFonts w:ascii="Times New Roman" w:hAnsi="Times New Roman"/>
          <w:b/>
          <w:sz w:val="24"/>
          <w:szCs w:val="24"/>
        </w:rPr>
        <w:t>Tablo 1.</w:t>
      </w:r>
      <w:r w:rsidRPr="00D6441B">
        <w:rPr>
          <w:rFonts w:ascii="Times New Roman" w:hAnsi="Times New Roman"/>
          <w:sz w:val="24"/>
          <w:szCs w:val="24"/>
        </w:rPr>
        <w:t xml:space="preserve"> Pilot Döner Fırında Üretilen Klinkerin Kimyasal Analiz Özet Sonuçları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1361"/>
        <w:gridCol w:w="1342"/>
        <w:gridCol w:w="1363"/>
        <w:gridCol w:w="1363"/>
        <w:gridCol w:w="1363"/>
        <w:gridCol w:w="1411"/>
      </w:tblGrid>
      <w:tr w:rsidR="001F5FA8" w:rsidRPr="00D6441B" w:rsidTr="008D1314">
        <w:trPr>
          <w:trHeight w:val="270"/>
        </w:trPr>
        <w:tc>
          <w:tcPr>
            <w:tcW w:w="955" w:type="pct"/>
            <w:vMerge w:val="restart"/>
          </w:tcPr>
          <w:p w:rsidR="001F5FA8" w:rsidRPr="00D6441B" w:rsidRDefault="001F5FA8" w:rsidP="008D1314">
            <w:pPr>
              <w:spacing w:after="0" w:line="240" w:lineRule="auto"/>
              <w:jc w:val="both"/>
              <w:rPr>
                <w:rFonts w:ascii="Times New Roman" w:hAnsi="Times New Roman"/>
                <w:b/>
                <w:color w:val="0000FF"/>
                <w:sz w:val="24"/>
                <w:szCs w:val="24"/>
              </w:rPr>
            </w:pPr>
          </w:p>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Bileşenler ve Modüller</w:t>
            </w:r>
          </w:p>
        </w:tc>
        <w:tc>
          <w:tcPr>
            <w:tcW w:w="4045" w:type="pct"/>
            <w:gridSpan w:val="6"/>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MİKTAR (%)</w:t>
            </w:r>
          </w:p>
        </w:tc>
      </w:tr>
      <w:tr w:rsidR="001F5FA8" w:rsidRPr="00D6441B" w:rsidTr="00CC43FF">
        <w:trPr>
          <w:trHeight w:val="270"/>
        </w:trPr>
        <w:tc>
          <w:tcPr>
            <w:tcW w:w="955" w:type="pct"/>
            <w:vMerge/>
          </w:tcPr>
          <w:p w:rsidR="001F5FA8" w:rsidRPr="00D6441B" w:rsidRDefault="001F5FA8" w:rsidP="008D1314">
            <w:pPr>
              <w:spacing w:after="0" w:line="240" w:lineRule="auto"/>
              <w:jc w:val="both"/>
              <w:rPr>
                <w:rFonts w:ascii="Times New Roman" w:hAnsi="Times New Roman"/>
                <w:b/>
                <w:color w:val="0000FF"/>
                <w:sz w:val="24"/>
                <w:szCs w:val="24"/>
              </w:rPr>
            </w:pPr>
          </w:p>
        </w:tc>
        <w:tc>
          <w:tcPr>
            <w:tcW w:w="671" w:type="pct"/>
          </w:tcPr>
          <w:p w:rsidR="001F5FA8" w:rsidRPr="00D6441B" w:rsidRDefault="001F5FA8" w:rsidP="008D1314">
            <w:pPr>
              <w:spacing w:after="0" w:line="240" w:lineRule="auto"/>
              <w:jc w:val="both"/>
              <w:rPr>
                <w:rFonts w:ascii="Times New Roman" w:hAnsi="Times New Roman"/>
                <w:b/>
                <w:color w:val="0000FF"/>
                <w:sz w:val="24"/>
                <w:szCs w:val="24"/>
              </w:rPr>
            </w:pPr>
            <w:r w:rsidRPr="00D6441B">
              <w:rPr>
                <w:rFonts w:ascii="Times New Roman" w:hAnsi="Times New Roman"/>
                <w:b/>
                <w:bCs/>
                <w:sz w:val="24"/>
                <w:szCs w:val="24"/>
              </w:rPr>
              <w:t>% 0 RDF + % 100 LPG Deneyi</w:t>
            </w:r>
          </w:p>
        </w:tc>
        <w:tc>
          <w:tcPr>
            <w:tcW w:w="662" w:type="pct"/>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5 RDF + % 95 LPG Deneyi</w:t>
            </w:r>
          </w:p>
        </w:tc>
        <w:tc>
          <w:tcPr>
            <w:tcW w:w="672" w:type="pct"/>
          </w:tcPr>
          <w:p w:rsidR="001F5FA8" w:rsidRPr="00D6441B" w:rsidRDefault="001F5FA8" w:rsidP="008D1314">
            <w:pPr>
              <w:spacing w:after="0" w:line="240" w:lineRule="auto"/>
              <w:jc w:val="both"/>
              <w:rPr>
                <w:rFonts w:ascii="Times New Roman" w:hAnsi="Times New Roman"/>
                <w:b/>
                <w:color w:val="0000FF"/>
                <w:sz w:val="24"/>
                <w:szCs w:val="24"/>
              </w:rPr>
            </w:pPr>
            <w:r w:rsidRPr="00D6441B">
              <w:rPr>
                <w:rFonts w:ascii="Times New Roman" w:hAnsi="Times New Roman"/>
                <w:b/>
                <w:bCs/>
                <w:sz w:val="24"/>
                <w:szCs w:val="24"/>
              </w:rPr>
              <w:t>% 10 RDF + % 90 LPG Deneyi</w:t>
            </w:r>
          </w:p>
        </w:tc>
        <w:tc>
          <w:tcPr>
            <w:tcW w:w="672" w:type="pct"/>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15 RDF + % 85 LPG Deneyi</w:t>
            </w:r>
          </w:p>
        </w:tc>
        <w:tc>
          <w:tcPr>
            <w:tcW w:w="672" w:type="pct"/>
          </w:tcPr>
          <w:p w:rsidR="001F5FA8" w:rsidRPr="00D6441B" w:rsidRDefault="001F5FA8" w:rsidP="008D1314">
            <w:pPr>
              <w:spacing w:after="0" w:line="240" w:lineRule="auto"/>
              <w:jc w:val="both"/>
              <w:rPr>
                <w:rFonts w:ascii="Times New Roman" w:hAnsi="Times New Roman"/>
                <w:b/>
                <w:color w:val="0000FF"/>
                <w:sz w:val="24"/>
                <w:szCs w:val="24"/>
              </w:rPr>
            </w:pPr>
            <w:r w:rsidRPr="00D6441B">
              <w:rPr>
                <w:rFonts w:ascii="Times New Roman" w:hAnsi="Times New Roman"/>
                <w:b/>
                <w:bCs/>
                <w:sz w:val="24"/>
                <w:szCs w:val="24"/>
              </w:rPr>
              <w:t>% 20 RDF + % 80 LPG Deneyi</w:t>
            </w:r>
          </w:p>
        </w:tc>
        <w:tc>
          <w:tcPr>
            <w:tcW w:w="696" w:type="pct"/>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Sınır Değerler (Erdoğan, 2004)</w:t>
            </w:r>
          </w:p>
        </w:tc>
      </w:tr>
      <w:tr w:rsidR="001F5FA8" w:rsidRPr="00D6441B" w:rsidTr="00CC43FF">
        <w:trPr>
          <w:trHeight w:val="253"/>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CaO</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66,28</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66,24</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65,92</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66,08</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66,37</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60 – 67</w:t>
            </w: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SiO</w:t>
            </w:r>
            <w:r w:rsidRPr="00D6441B">
              <w:rPr>
                <w:rFonts w:ascii="Times New Roman" w:hAnsi="Times New Roman"/>
                <w:sz w:val="24"/>
                <w:szCs w:val="24"/>
                <w:vertAlign w:val="subscript"/>
              </w:rPr>
              <w:t>2</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21,04</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20,90</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21,31</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21,26</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21,13</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17 – 25</w:t>
            </w:r>
          </w:p>
        </w:tc>
      </w:tr>
      <w:tr w:rsidR="001F5FA8" w:rsidRPr="00D6441B" w:rsidTr="00CC43FF">
        <w:trPr>
          <w:trHeight w:val="253"/>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Al</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5,68</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5,66</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5,38</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5,67</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5,83</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 – 8</w:t>
            </w: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Fe</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3,96</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3,94</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3,91</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3,92</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3,98</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0,5 – 6</w:t>
            </w: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MgO</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1,23</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1,22</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1,19</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1,22</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1,24</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 – 4</w:t>
            </w:r>
          </w:p>
        </w:tc>
      </w:tr>
      <w:tr w:rsidR="001F5FA8" w:rsidRPr="00D6441B" w:rsidTr="00CC43FF">
        <w:trPr>
          <w:trHeight w:val="253"/>
        </w:trPr>
        <w:tc>
          <w:tcPr>
            <w:tcW w:w="955" w:type="pct"/>
            <w:tcBorders>
              <w:bottom w:val="nil"/>
            </w:tcBorders>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K</w:t>
            </w:r>
            <w:r w:rsidRPr="00D6441B">
              <w:rPr>
                <w:rFonts w:ascii="Times New Roman" w:hAnsi="Times New Roman"/>
                <w:sz w:val="24"/>
                <w:szCs w:val="24"/>
                <w:vertAlign w:val="subscript"/>
              </w:rPr>
              <w:t>2</w:t>
            </w:r>
            <w:r w:rsidRPr="00D6441B">
              <w:rPr>
                <w:rFonts w:ascii="Times New Roman" w:hAnsi="Times New Roman"/>
                <w:sz w:val="24"/>
                <w:szCs w:val="24"/>
              </w:rPr>
              <w:t>O</w:t>
            </w:r>
          </w:p>
        </w:tc>
        <w:tc>
          <w:tcPr>
            <w:tcW w:w="671" w:type="pct"/>
            <w:tcBorders>
              <w:bottom w:val="nil"/>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0,27</w:t>
            </w:r>
          </w:p>
        </w:tc>
        <w:tc>
          <w:tcPr>
            <w:tcW w:w="662" w:type="pct"/>
            <w:tcBorders>
              <w:bottom w:val="nil"/>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0,28</w:t>
            </w:r>
          </w:p>
        </w:tc>
        <w:tc>
          <w:tcPr>
            <w:tcW w:w="672" w:type="pct"/>
            <w:tcBorders>
              <w:bottom w:val="nil"/>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0,26</w:t>
            </w:r>
          </w:p>
        </w:tc>
        <w:tc>
          <w:tcPr>
            <w:tcW w:w="672" w:type="pct"/>
            <w:tcBorders>
              <w:bottom w:val="nil"/>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0,27</w:t>
            </w:r>
          </w:p>
        </w:tc>
        <w:tc>
          <w:tcPr>
            <w:tcW w:w="672" w:type="pct"/>
            <w:tcBorders>
              <w:bottom w:val="nil"/>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0,27</w:t>
            </w:r>
          </w:p>
        </w:tc>
        <w:tc>
          <w:tcPr>
            <w:tcW w:w="696" w:type="pct"/>
            <w:tcBorders>
              <w:bottom w:val="nil"/>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 – 1,3</w:t>
            </w:r>
          </w:p>
        </w:tc>
      </w:tr>
      <w:tr w:rsidR="00CC43FF" w:rsidRPr="00D6441B" w:rsidTr="00CC43FF">
        <w:trPr>
          <w:trHeight w:val="253"/>
        </w:trPr>
        <w:tc>
          <w:tcPr>
            <w:tcW w:w="955" w:type="pct"/>
            <w:tcBorders>
              <w:top w:val="nil"/>
              <w:left w:val="nil"/>
              <w:bottom w:val="single" w:sz="4" w:space="0" w:color="auto"/>
              <w:right w:val="nil"/>
            </w:tcBorders>
          </w:tcPr>
          <w:p w:rsidR="00CC43FF" w:rsidRPr="00CC43FF" w:rsidRDefault="00CC43FF" w:rsidP="008D1314">
            <w:pPr>
              <w:spacing w:after="0" w:line="240" w:lineRule="auto"/>
              <w:jc w:val="both"/>
              <w:rPr>
                <w:rFonts w:ascii="Times New Roman" w:hAnsi="Times New Roman"/>
                <w:b/>
                <w:sz w:val="24"/>
                <w:szCs w:val="24"/>
              </w:rPr>
            </w:pPr>
            <w:r w:rsidRPr="00CC43FF">
              <w:rPr>
                <w:rFonts w:ascii="Times New Roman" w:hAnsi="Times New Roman"/>
                <w:b/>
                <w:sz w:val="24"/>
                <w:szCs w:val="24"/>
              </w:rPr>
              <w:lastRenderedPageBreak/>
              <w:t>Tablo 1. Devam</w:t>
            </w:r>
          </w:p>
        </w:tc>
        <w:tc>
          <w:tcPr>
            <w:tcW w:w="671" w:type="pct"/>
            <w:tcBorders>
              <w:top w:val="nil"/>
              <w:left w:val="nil"/>
              <w:bottom w:val="single" w:sz="4" w:space="0" w:color="auto"/>
              <w:right w:val="nil"/>
            </w:tcBorders>
            <w:vAlign w:val="center"/>
          </w:tcPr>
          <w:p w:rsidR="00CC43FF" w:rsidRPr="00D6441B" w:rsidRDefault="00CC43FF" w:rsidP="008D1314">
            <w:pPr>
              <w:spacing w:after="0" w:line="240" w:lineRule="auto"/>
              <w:jc w:val="both"/>
              <w:rPr>
                <w:rFonts w:ascii="Times New Roman" w:hAnsi="Times New Roman"/>
                <w:sz w:val="24"/>
                <w:szCs w:val="24"/>
              </w:rPr>
            </w:pPr>
          </w:p>
        </w:tc>
        <w:tc>
          <w:tcPr>
            <w:tcW w:w="662" w:type="pct"/>
            <w:tcBorders>
              <w:top w:val="nil"/>
              <w:left w:val="nil"/>
              <w:bottom w:val="single" w:sz="4" w:space="0" w:color="auto"/>
              <w:right w:val="nil"/>
            </w:tcBorders>
            <w:vAlign w:val="center"/>
          </w:tcPr>
          <w:p w:rsidR="00CC43FF" w:rsidRPr="00D6441B" w:rsidRDefault="00CC43FF" w:rsidP="008D1314">
            <w:pPr>
              <w:spacing w:after="0" w:line="240" w:lineRule="auto"/>
              <w:jc w:val="both"/>
              <w:rPr>
                <w:rFonts w:ascii="Times New Roman" w:hAnsi="Times New Roman"/>
                <w:sz w:val="24"/>
                <w:szCs w:val="24"/>
              </w:rPr>
            </w:pPr>
          </w:p>
        </w:tc>
        <w:tc>
          <w:tcPr>
            <w:tcW w:w="672" w:type="pct"/>
            <w:tcBorders>
              <w:top w:val="nil"/>
              <w:left w:val="nil"/>
              <w:bottom w:val="single" w:sz="4" w:space="0" w:color="auto"/>
              <w:right w:val="nil"/>
            </w:tcBorders>
            <w:vAlign w:val="center"/>
          </w:tcPr>
          <w:p w:rsidR="00CC43FF" w:rsidRPr="00D6441B" w:rsidRDefault="00CC43FF" w:rsidP="008D1314">
            <w:pPr>
              <w:spacing w:after="0" w:line="240" w:lineRule="auto"/>
              <w:jc w:val="both"/>
              <w:rPr>
                <w:rFonts w:ascii="Times New Roman" w:hAnsi="Times New Roman"/>
                <w:sz w:val="24"/>
                <w:szCs w:val="24"/>
              </w:rPr>
            </w:pPr>
          </w:p>
        </w:tc>
        <w:tc>
          <w:tcPr>
            <w:tcW w:w="672" w:type="pct"/>
            <w:tcBorders>
              <w:top w:val="nil"/>
              <w:left w:val="nil"/>
              <w:bottom w:val="single" w:sz="4" w:space="0" w:color="auto"/>
              <w:right w:val="nil"/>
            </w:tcBorders>
            <w:vAlign w:val="center"/>
          </w:tcPr>
          <w:p w:rsidR="00CC43FF" w:rsidRPr="00D6441B" w:rsidRDefault="00CC43FF" w:rsidP="008D1314">
            <w:pPr>
              <w:spacing w:after="0" w:line="240" w:lineRule="auto"/>
              <w:jc w:val="both"/>
              <w:rPr>
                <w:rFonts w:ascii="Times New Roman" w:hAnsi="Times New Roman"/>
                <w:sz w:val="24"/>
                <w:szCs w:val="24"/>
              </w:rPr>
            </w:pPr>
          </w:p>
        </w:tc>
        <w:tc>
          <w:tcPr>
            <w:tcW w:w="672" w:type="pct"/>
            <w:tcBorders>
              <w:top w:val="nil"/>
              <w:left w:val="nil"/>
              <w:bottom w:val="single" w:sz="4" w:space="0" w:color="auto"/>
              <w:right w:val="nil"/>
            </w:tcBorders>
            <w:vAlign w:val="center"/>
          </w:tcPr>
          <w:p w:rsidR="00CC43FF" w:rsidRPr="00D6441B" w:rsidRDefault="00CC43FF" w:rsidP="008D1314">
            <w:pPr>
              <w:spacing w:after="0" w:line="240" w:lineRule="auto"/>
              <w:jc w:val="both"/>
              <w:rPr>
                <w:rFonts w:ascii="Times New Roman" w:hAnsi="Times New Roman"/>
                <w:sz w:val="24"/>
                <w:szCs w:val="24"/>
              </w:rPr>
            </w:pPr>
          </w:p>
        </w:tc>
        <w:tc>
          <w:tcPr>
            <w:tcW w:w="696" w:type="pct"/>
            <w:tcBorders>
              <w:top w:val="nil"/>
              <w:left w:val="nil"/>
              <w:bottom w:val="single" w:sz="4" w:space="0" w:color="auto"/>
              <w:right w:val="nil"/>
            </w:tcBorders>
            <w:vAlign w:val="center"/>
          </w:tcPr>
          <w:p w:rsidR="00CC43FF" w:rsidRPr="00D6441B" w:rsidRDefault="00CC43FF" w:rsidP="008D1314">
            <w:pPr>
              <w:spacing w:after="0" w:line="240" w:lineRule="auto"/>
              <w:jc w:val="both"/>
              <w:rPr>
                <w:rFonts w:ascii="Times New Roman" w:hAnsi="Times New Roman"/>
                <w:sz w:val="24"/>
                <w:szCs w:val="24"/>
              </w:rPr>
            </w:pPr>
          </w:p>
        </w:tc>
      </w:tr>
      <w:tr w:rsidR="001F5FA8" w:rsidRPr="00D6441B" w:rsidTr="00CC43FF">
        <w:trPr>
          <w:trHeight w:val="270"/>
        </w:trPr>
        <w:tc>
          <w:tcPr>
            <w:tcW w:w="955" w:type="pct"/>
            <w:tcBorders>
              <w:top w:val="single" w:sz="4" w:space="0" w:color="auto"/>
            </w:tcBorders>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Cl</w:t>
            </w:r>
          </w:p>
        </w:tc>
        <w:tc>
          <w:tcPr>
            <w:tcW w:w="671" w:type="pct"/>
            <w:tcBorders>
              <w:top w:val="single" w:sz="4" w:space="0" w:color="auto"/>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0,0102</w:t>
            </w:r>
          </w:p>
        </w:tc>
        <w:tc>
          <w:tcPr>
            <w:tcW w:w="662" w:type="pct"/>
            <w:tcBorders>
              <w:top w:val="single" w:sz="4" w:space="0" w:color="auto"/>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0,0125</w:t>
            </w:r>
          </w:p>
        </w:tc>
        <w:tc>
          <w:tcPr>
            <w:tcW w:w="672" w:type="pct"/>
            <w:tcBorders>
              <w:top w:val="single" w:sz="4" w:space="0" w:color="auto"/>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0,0256</w:t>
            </w:r>
          </w:p>
        </w:tc>
        <w:tc>
          <w:tcPr>
            <w:tcW w:w="672" w:type="pct"/>
            <w:tcBorders>
              <w:top w:val="single" w:sz="4" w:space="0" w:color="auto"/>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0,0242</w:t>
            </w:r>
          </w:p>
        </w:tc>
        <w:tc>
          <w:tcPr>
            <w:tcW w:w="672" w:type="pct"/>
            <w:tcBorders>
              <w:top w:val="single" w:sz="4" w:space="0" w:color="auto"/>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0,0228</w:t>
            </w:r>
          </w:p>
        </w:tc>
        <w:tc>
          <w:tcPr>
            <w:tcW w:w="696" w:type="pct"/>
            <w:tcBorders>
              <w:top w:val="single" w:sz="4" w:space="0" w:color="auto"/>
            </w:tcBorders>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Maks. 0,1</w:t>
            </w:r>
          </w:p>
        </w:tc>
      </w:tr>
      <w:tr w:rsidR="001F5FA8" w:rsidRPr="00D6441B" w:rsidTr="00CC43FF">
        <w:trPr>
          <w:trHeight w:val="253"/>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Na</w:t>
            </w:r>
            <w:r w:rsidRPr="00D6441B">
              <w:rPr>
                <w:rFonts w:ascii="Times New Roman" w:hAnsi="Times New Roman"/>
                <w:sz w:val="24"/>
                <w:szCs w:val="24"/>
                <w:vertAlign w:val="subscript"/>
              </w:rPr>
              <w:t>2</w:t>
            </w:r>
            <w:r w:rsidRPr="00D6441B">
              <w:rPr>
                <w:rFonts w:ascii="Times New Roman" w:hAnsi="Times New Roman"/>
                <w:sz w:val="24"/>
                <w:szCs w:val="24"/>
              </w:rPr>
              <w:t>O</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0,22</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0,23</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0,24</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0,24</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0,25</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 – 1,3</w:t>
            </w: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TiO</w:t>
            </w:r>
            <w:r w:rsidRPr="00D6441B">
              <w:rPr>
                <w:rFonts w:ascii="Times New Roman" w:hAnsi="Times New Roman"/>
                <w:sz w:val="24"/>
                <w:szCs w:val="24"/>
                <w:vertAlign w:val="subscript"/>
              </w:rPr>
              <w:t>2</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0,28</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0,28</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0,28</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0,28</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0,28</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p>
        </w:tc>
      </w:tr>
      <w:tr w:rsidR="001F5FA8" w:rsidRPr="00D6441B" w:rsidTr="00CC43FF">
        <w:trPr>
          <w:trHeight w:val="253"/>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SO</w:t>
            </w:r>
            <w:r w:rsidRPr="00D6441B">
              <w:rPr>
                <w:rFonts w:ascii="Times New Roman" w:hAnsi="Times New Roman"/>
                <w:sz w:val="24"/>
                <w:szCs w:val="24"/>
                <w:vertAlign w:val="subscript"/>
              </w:rPr>
              <w:t>3</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0,14</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0,13</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0,13</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0,13</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0,13</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1–3</w:t>
            </w: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MnO</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0,05</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0,05</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0,05</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0,05</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0,05</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sz w:val="24"/>
                <w:szCs w:val="24"/>
              </w:rPr>
              <w:t>Tayin Edilemeyen</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0,84</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1,06</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1,12</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0,85</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0,44</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p>
        </w:tc>
      </w:tr>
      <w:tr w:rsidR="001F5FA8" w:rsidRPr="00D6441B" w:rsidTr="00CC43FF">
        <w:trPr>
          <w:trHeight w:val="253"/>
        </w:trPr>
        <w:tc>
          <w:tcPr>
            <w:tcW w:w="955" w:type="pct"/>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Toplam</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100</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100</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100</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100</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100</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p>
        </w:tc>
      </w:tr>
      <w:tr w:rsidR="001F5FA8" w:rsidRPr="00D6441B" w:rsidTr="00CC43FF">
        <w:trPr>
          <w:trHeight w:val="253"/>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Kireç Standardı (K.S.T.)</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97,19</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97,75</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95,84</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96,09</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96,70</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 92–96</w:t>
            </w:r>
          </w:p>
        </w:tc>
      </w:tr>
      <w:tr w:rsidR="001F5FA8" w:rsidRPr="00D6441B" w:rsidTr="00CC43FF">
        <w:trPr>
          <w:trHeight w:val="253"/>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Kireç Doygunluk Faktörü (L.S.F.)</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0,97</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0,98</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0,96</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0,96</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0,97</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p>
        </w:tc>
      </w:tr>
      <w:tr w:rsidR="001F5FA8" w:rsidRPr="00D6441B" w:rsidTr="00CC43FF">
        <w:trPr>
          <w:trHeight w:val="253"/>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Silis Modülü (S.M)</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2,18</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2,18</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2,25</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2,21</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2,15</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2,3–2,7</w:t>
            </w: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Alüminyum Modülü(T.M)</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1,43</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1,43</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1,43</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1,45</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1,46</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1,3–1,6</w:t>
            </w: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Hidrolik Modül (H.M.)</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2,16</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2,17</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2,14</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2,14</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2,15</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Serbest Kireç</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2,82</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3,82</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2,76</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3,06</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3,60</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Maks. 2</w:t>
            </w: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Dansite (g/l)</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1280</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1250</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1350</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1210</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1190</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1200–1300</w:t>
            </w:r>
          </w:p>
        </w:tc>
      </w:tr>
      <w:tr w:rsidR="001F5FA8" w:rsidRPr="00D6441B" w:rsidTr="00CC43FF">
        <w:trPr>
          <w:trHeight w:val="270"/>
        </w:trPr>
        <w:tc>
          <w:tcPr>
            <w:tcW w:w="955"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 xml:space="preserve">Likit Faz (%) </w:t>
            </w:r>
          </w:p>
        </w:tc>
        <w:tc>
          <w:tcPr>
            <w:tcW w:w="67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27,81</w:t>
            </w:r>
          </w:p>
        </w:tc>
        <w:tc>
          <w:tcPr>
            <w:tcW w:w="66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27,70</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27,34</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27,71</w:t>
            </w:r>
          </w:p>
        </w:tc>
        <w:tc>
          <w:tcPr>
            <w:tcW w:w="672"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28,37</w:t>
            </w:r>
          </w:p>
        </w:tc>
        <w:tc>
          <w:tcPr>
            <w:tcW w:w="696"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25–27</w:t>
            </w:r>
          </w:p>
        </w:tc>
      </w:tr>
    </w:tbl>
    <w:p w:rsidR="00CC43FF" w:rsidRDefault="00CC43FF" w:rsidP="001F5FA8">
      <w:pPr>
        <w:spacing w:before="120" w:after="120" w:line="240" w:lineRule="auto"/>
        <w:jc w:val="both"/>
        <w:outlineLvl w:val="0"/>
        <w:rPr>
          <w:rFonts w:ascii="Times New Roman" w:hAnsi="Times New Roman"/>
          <w:b/>
          <w:sz w:val="24"/>
          <w:szCs w:val="24"/>
        </w:rPr>
        <w:sectPr w:rsidR="00CC43FF" w:rsidSect="00E230BE">
          <w:type w:val="continuous"/>
          <w:pgSz w:w="11906" w:h="16838"/>
          <w:pgMar w:top="1417" w:right="849" w:bottom="1417" w:left="1134" w:header="708" w:footer="340" w:gutter="0"/>
          <w:cols w:space="708"/>
          <w:docGrid w:linePitch="360"/>
        </w:sectPr>
      </w:pPr>
    </w:p>
    <w:p w:rsidR="001F5FA8" w:rsidRDefault="001F5FA8" w:rsidP="001F5FA8">
      <w:pPr>
        <w:spacing w:before="120" w:after="120" w:line="240" w:lineRule="auto"/>
        <w:jc w:val="both"/>
        <w:outlineLvl w:val="0"/>
        <w:rPr>
          <w:rFonts w:ascii="Times New Roman" w:hAnsi="Times New Roman"/>
          <w:b/>
          <w:sz w:val="24"/>
          <w:szCs w:val="24"/>
        </w:rPr>
      </w:pPr>
    </w:p>
    <w:p w:rsidR="001F5FA8" w:rsidRDefault="001F5FA8" w:rsidP="001F5FA8">
      <w:pPr>
        <w:spacing w:before="120" w:after="120" w:line="240" w:lineRule="auto"/>
        <w:jc w:val="both"/>
        <w:outlineLvl w:val="0"/>
        <w:rPr>
          <w:rFonts w:ascii="Times New Roman" w:hAnsi="Times New Roman"/>
          <w:b/>
          <w:sz w:val="24"/>
          <w:szCs w:val="24"/>
        </w:rPr>
      </w:pPr>
    </w:p>
    <w:p w:rsidR="00CC43FF" w:rsidRDefault="00CC43FF" w:rsidP="001F5FA8">
      <w:pPr>
        <w:spacing w:before="120" w:after="120" w:line="240" w:lineRule="auto"/>
        <w:jc w:val="both"/>
        <w:outlineLvl w:val="0"/>
        <w:rPr>
          <w:rFonts w:ascii="Times New Roman" w:hAnsi="Times New Roman"/>
          <w:b/>
          <w:sz w:val="24"/>
          <w:szCs w:val="24"/>
        </w:rPr>
        <w:sectPr w:rsidR="00CC43FF" w:rsidSect="00273EA0">
          <w:type w:val="continuous"/>
          <w:pgSz w:w="11906" w:h="16838"/>
          <w:pgMar w:top="1417" w:right="849" w:bottom="1417" w:left="1134" w:header="708" w:footer="708" w:gutter="0"/>
          <w:cols w:num="2" w:space="708"/>
          <w:docGrid w:linePitch="360"/>
        </w:sectPr>
      </w:pPr>
    </w:p>
    <w:p w:rsidR="001F5FA8" w:rsidRPr="00D6441B" w:rsidRDefault="001F5FA8" w:rsidP="001F5FA8">
      <w:pPr>
        <w:spacing w:before="120" w:after="120" w:line="240" w:lineRule="auto"/>
        <w:jc w:val="both"/>
        <w:outlineLvl w:val="0"/>
        <w:rPr>
          <w:rFonts w:ascii="Times New Roman" w:hAnsi="Times New Roman"/>
          <w:sz w:val="24"/>
          <w:szCs w:val="24"/>
        </w:rPr>
      </w:pPr>
      <w:r w:rsidRPr="00D6441B">
        <w:rPr>
          <w:rFonts w:ascii="Times New Roman" w:hAnsi="Times New Roman"/>
          <w:b/>
          <w:sz w:val="24"/>
          <w:szCs w:val="24"/>
        </w:rPr>
        <w:lastRenderedPageBreak/>
        <w:t>Tablo 2.</w:t>
      </w:r>
      <w:r w:rsidRPr="00D6441B">
        <w:rPr>
          <w:rFonts w:ascii="Times New Roman" w:hAnsi="Times New Roman"/>
          <w:sz w:val="24"/>
          <w:szCs w:val="24"/>
        </w:rPr>
        <w:t xml:space="preserve"> Pilot Döner Fırında Üretilen Klinkerin Ana Bileşenlerinin Özet Sonuçları  </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1367"/>
        <w:gridCol w:w="1348"/>
        <w:gridCol w:w="1366"/>
        <w:gridCol w:w="1366"/>
        <w:gridCol w:w="1366"/>
        <w:gridCol w:w="1436"/>
      </w:tblGrid>
      <w:tr w:rsidR="001F5FA8" w:rsidRPr="00D6441B" w:rsidTr="008D1314">
        <w:trPr>
          <w:trHeight w:val="270"/>
        </w:trPr>
        <w:tc>
          <w:tcPr>
            <w:tcW w:w="876" w:type="pct"/>
            <w:vMerge w:val="restart"/>
          </w:tcPr>
          <w:p w:rsidR="001F5FA8" w:rsidRPr="00D6441B" w:rsidRDefault="001F5FA8" w:rsidP="008D1314">
            <w:pPr>
              <w:spacing w:after="0" w:line="240" w:lineRule="auto"/>
              <w:jc w:val="both"/>
              <w:rPr>
                <w:rFonts w:ascii="Times New Roman" w:hAnsi="Times New Roman"/>
                <w:b/>
                <w:sz w:val="24"/>
                <w:szCs w:val="24"/>
              </w:rPr>
            </w:pPr>
          </w:p>
          <w:p w:rsidR="001F5FA8" w:rsidRPr="00D6441B" w:rsidRDefault="001F5FA8" w:rsidP="008D1314">
            <w:pPr>
              <w:spacing w:after="0" w:line="240" w:lineRule="auto"/>
              <w:jc w:val="both"/>
              <w:rPr>
                <w:rFonts w:ascii="Times New Roman" w:hAnsi="Times New Roman"/>
                <w:b/>
                <w:sz w:val="24"/>
                <w:szCs w:val="24"/>
              </w:rPr>
            </w:pPr>
          </w:p>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Modüller</w:t>
            </w:r>
          </w:p>
        </w:tc>
        <w:tc>
          <w:tcPr>
            <w:tcW w:w="4124" w:type="pct"/>
            <w:gridSpan w:val="6"/>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MİKTAR (%)</w:t>
            </w:r>
          </w:p>
        </w:tc>
      </w:tr>
      <w:tr w:rsidR="001F5FA8" w:rsidRPr="00D6441B" w:rsidTr="008D1314">
        <w:trPr>
          <w:trHeight w:val="270"/>
        </w:trPr>
        <w:tc>
          <w:tcPr>
            <w:tcW w:w="876" w:type="pct"/>
            <w:vMerge/>
          </w:tcPr>
          <w:p w:rsidR="001F5FA8" w:rsidRPr="00D6441B" w:rsidRDefault="001F5FA8" w:rsidP="008D1314">
            <w:pPr>
              <w:spacing w:after="0" w:line="240" w:lineRule="auto"/>
              <w:jc w:val="both"/>
              <w:rPr>
                <w:rFonts w:ascii="Times New Roman" w:hAnsi="Times New Roman"/>
                <w:b/>
                <w:sz w:val="24"/>
                <w:szCs w:val="24"/>
              </w:rPr>
            </w:pPr>
          </w:p>
        </w:tc>
        <w:tc>
          <w:tcPr>
            <w:tcW w:w="683" w:type="pct"/>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bCs/>
                <w:sz w:val="24"/>
                <w:szCs w:val="24"/>
              </w:rPr>
              <w:t>% 0 RDF + % 100 LPG Deneyi</w:t>
            </w:r>
          </w:p>
        </w:tc>
        <w:tc>
          <w:tcPr>
            <w:tcW w:w="674" w:type="pct"/>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5 RDF + % 95 LPG Deneyi</w:t>
            </w:r>
          </w:p>
        </w:tc>
        <w:tc>
          <w:tcPr>
            <w:tcW w:w="683" w:type="pct"/>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bCs/>
                <w:sz w:val="24"/>
                <w:szCs w:val="24"/>
              </w:rPr>
              <w:t>% 10 RDF + % 90 LPG Deneyi</w:t>
            </w:r>
          </w:p>
        </w:tc>
        <w:tc>
          <w:tcPr>
            <w:tcW w:w="683" w:type="pct"/>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15 RDF + % 85 LPG Deneyi</w:t>
            </w:r>
          </w:p>
        </w:tc>
        <w:tc>
          <w:tcPr>
            <w:tcW w:w="683" w:type="pct"/>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bCs/>
                <w:sz w:val="24"/>
                <w:szCs w:val="24"/>
              </w:rPr>
              <w:t>% 20 RDF + % 80 LPG Deneyi</w:t>
            </w:r>
          </w:p>
        </w:tc>
        <w:tc>
          <w:tcPr>
            <w:tcW w:w="718" w:type="pct"/>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AKÇANSA A.Ş.</w:t>
            </w:r>
          </w:p>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xml:space="preserve">Ortalama Değerleri </w:t>
            </w:r>
          </w:p>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w:t>
            </w:r>
          </w:p>
        </w:tc>
      </w:tr>
      <w:tr w:rsidR="001F5FA8" w:rsidRPr="00D6441B" w:rsidTr="008D1314">
        <w:trPr>
          <w:trHeight w:val="270"/>
        </w:trPr>
        <w:tc>
          <w:tcPr>
            <w:tcW w:w="876" w:type="pct"/>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bCs/>
                <w:sz w:val="24"/>
                <w:szCs w:val="24"/>
              </w:rPr>
              <w:t>C</w:t>
            </w:r>
            <w:r w:rsidRPr="00D6441B">
              <w:rPr>
                <w:rFonts w:ascii="Times New Roman" w:hAnsi="Times New Roman"/>
                <w:b/>
                <w:bCs/>
                <w:sz w:val="24"/>
                <w:szCs w:val="24"/>
                <w:vertAlign w:val="subscript"/>
              </w:rPr>
              <w:t>3</w:t>
            </w:r>
            <w:r w:rsidRPr="00D6441B">
              <w:rPr>
                <w:rFonts w:ascii="Times New Roman" w:hAnsi="Times New Roman"/>
                <w:b/>
                <w:bCs/>
                <w:sz w:val="24"/>
                <w:szCs w:val="24"/>
              </w:rPr>
              <w:t>S</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54,20</w:t>
            </w:r>
          </w:p>
        </w:tc>
        <w:tc>
          <w:tcPr>
            <w:tcW w:w="674"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51,23</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51,73</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50,88</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49,71</w:t>
            </w:r>
          </w:p>
        </w:tc>
        <w:tc>
          <w:tcPr>
            <w:tcW w:w="718"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51,33</w:t>
            </w:r>
          </w:p>
        </w:tc>
      </w:tr>
      <w:tr w:rsidR="001F5FA8" w:rsidRPr="00D6441B" w:rsidTr="008D1314">
        <w:trPr>
          <w:trHeight w:val="270"/>
        </w:trPr>
        <w:tc>
          <w:tcPr>
            <w:tcW w:w="876" w:type="pct"/>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bCs/>
                <w:sz w:val="24"/>
                <w:szCs w:val="24"/>
              </w:rPr>
              <w:t>C</w:t>
            </w:r>
            <w:r w:rsidRPr="00D6441B">
              <w:rPr>
                <w:rFonts w:ascii="Times New Roman" w:hAnsi="Times New Roman"/>
                <w:b/>
                <w:bCs/>
                <w:sz w:val="24"/>
                <w:szCs w:val="24"/>
                <w:vertAlign w:val="subscript"/>
              </w:rPr>
              <w:t>2</w:t>
            </w:r>
            <w:r w:rsidRPr="00D6441B">
              <w:rPr>
                <w:rFonts w:ascii="Times New Roman" w:hAnsi="Times New Roman"/>
                <w:b/>
                <w:bCs/>
                <w:sz w:val="24"/>
                <w:szCs w:val="24"/>
              </w:rPr>
              <w:t>S</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19,44</w:t>
            </w:r>
          </w:p>
        </w:tc>
        <w:tc>
          <w:tcPr>
            <w:tcW w:w="674"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21,28</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22,06</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22,56</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23,08</w:t>
            </w:r>
          </w:p>
        </w:tc>
        <w:tc>
          <w:tcPr>
            <w:tcW w:w="718"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20,60</w:t>
            </w:r>
          </w:p>
        </w:tc>
      </w:tr>
      <w:tr w:rsidR="001F5FA8" w:rsidRPr="00D6441B" w:rsidTr="008D1314">
        <w:trPr>
          <w:trHeight w:val="270"/>
        </w:trPr>
        <w:tc>
          <w:tcPr>
            <w:tcW w:w="876" w:type="pct"/>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bCs/>
                <w:sz w:val="24"/>
                <w:szCs w:val="24"/>
              </w:rPr>
              <w:t>C</w:t>
            </w:r>
            <w:r w:rsidRPr="00D6441B">
              <w:rPr>
                <w:rFonts w:ascii="Times New Roman" w:hAnsi="Times New Roman"/>
                <w:b/>
                <w:bCs/>
                <w:sz w:val="24"/>
                <w:szCs w:val="24"/>
                <w:vertAlign w:val="subscript"/>
              </w:rPr>
              <w:t>3</w:t>
            </w:r>
            <w:r w:rsidRPr="00D6441B">
              <w:rPr>
                <w:rFonts w:ascii="Times New Roman" w:hAnsi="Times New Roman"/>
                <w:b/>
                <w:bCs/>
                <w:sz w:val="24"/>
                <w:szCs w:val="24"/>
              </w:rPr>
              <w:t>A</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8,35</w:t>
            </w:r>
          </w:p>
        </w:tc>
        <w:tc>
          <w:tcPr>
            <w:tcW w:w="674"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8,31</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8,18</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8,40</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8,71</w:t>
            </w:r>
          </w:p>
        </w:tc>
        <w:tc>
          <w:tcPr>
            <w:tcW w:w="718"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6,36</w:t>
            </w:r>
          </w:p>
        </w:tc>
      </w:tr>
      <w:tr w:rsidR="001F5FA8" w:rsidRPr="00D6441B" w:rsidTr="008D1314">
        <w:trPr>
          <w:trHeight w:val="270"/>
        </w:trPr>
        <w:tc>
          <w:tcPr>
            <w:tcW w:w="876" w:type="pct"/>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bCs/>
                <w:sz w:val="24"/>
                <w:szCs w:val="24"/>
              </w:rPr>
              <w:t>C</w:t>
            </w:r>
            <w:r w:rsidRPr="00D6441B">
              <w:rPr>
                <w:rFonts w:ascii="Times New Roman" w:hAnsi="Times New Roman"/>
                <w:b/>
                <w:bCs/>
                <w:sz w:val="24"/>
                <w:szCs w:val="24"/>
                <w:vertAlign w:val="subscript"/>
              </w:rPr>
              <w:t>4</w:t>
            </w:r>
            <w:r w:rsidRPr="00D6441B">
              <w:rPr>
                <w:rFonts w:ascii="Times New Roman" w:hAnsi="Times New Roman"/>
                <w:b/>
                <w:bCs/>
                <w:sz w:val="24"/>
                <w:szCs w:val="24"/>
              </w:rPr>
              <w:t>AF</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12,06</w:t>
            </w:r>
          </w:p>
        </w:tc>
        <w:tc>
          <w:tcPr>
            <w:tcW w:w="674"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12,00</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11,89</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11,94</w:t>
            </w:r>
          </w:p>
        </w:tc>
        <w:tc>
          <w:tcPr>
            <w:tcW w:w="683" w:type="pct"/>
          </w:tcPr>
          <w:p w:rsidR="001F5FA8" w:rsidRPr="00D6441B" w:rsidRDefault="001F5FA8" w:rsidP="008D1314">
            <w:pPr>
              <w:spacing w:after="0" w:line="240" w:lineRule="auto"/>
              <w:jc w:val="both"/>
              <w:rPr>
                <w:rFonts w:ascii="Times New Roman" w:hAnsi="Times New Roman"/>
                <w:bCs/>
                <w:sz w:val="24"/>
                <w:szCs w:val="24"/>
              </w:rPr>
            </w:pPr>
            <w:r w:rsidRPr="00D6441B">
              <w:rPr>
                <w:rFonts w:ascii="Times New Roman" w:hAnsi="Times New Roman"/>
                <w:bCs/>
                <w:sz w:val="24"/>
                <w:szCs w:val="24"/>
              </w:rPr>
              <w:t>12,11</w:t>
            </w:r>
          </w:p>
        </w:tc>
        <w:tc>
          <w:tcPr>
            <w:tcW w:w="718" w:type="pct"/>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11,25</w:t>
            </w:r>
          </w:p>
        </w:tc>
      </w:tr>
    </w:tbl>
    <w:p w:rsidR="00CC43FF" w:rsidRDefault="00CC43FF" w:rsidP="001F5FA8">
      <w:pPr>
        <w:spacing w:before="120" w:after="120" w:line="240" w:lineRule="auto"/>
        <w:jc w:val="both"/>
        <w:rPr>
          <w:rFonts w:ascii="Times New Roman" w:hAnsi="Times New Roman"/>
          <w:sz w:val="24"/>
          <w:szCs w:val="24"/>
        </w:rPr>
        <w:sectPr w:rsidR="00CC43FF" w:rsidSect="00CC43FF">
          <w:type w:val="continuous"/>
          <w:pgSz w:w="11906" w:h="16838"/>
          <w:pgMar w:top="1417" w:right="849" w:bottom="1417" w:left="1134" w:header="708" w:footer="708" w:gutter="0"/>
          <w:cols w:space="708"/>
          <w:docGrid w:linePitch="360"/>
        </w:sectPr>
      </w:pPr>
    </w:p>
    <w:p w:rsidR="001F5FA8" w:rsidRPr="00D6441B" w:rsidRDefault="001F5FA8" w:rsidP="001F5FA8">
      <w:pPr>
        <w:spacing w:before="120" w:after="120" w:line="240" w:lineRule="auto"/>
        <w:jc w:val="both"/>
        <w:rPr>
          <w:rFonts w:ascii="Times New Roman" w:hAnsi="Times New Roman"/>
          <w:sz w:val="24"/>
          <w:szCs w:val="24"/>
        </w:rPr>
      </w:pPr>
    </w:p>
    <w:p w:rsidR="00CC43FF"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Tablo 2’de görüldüğü gibi, mineralojik açıdan dört ana bileşen değerlerinin de Portland çimentosundaki belirtilen değerlerle uyumlu olduğu görülmüştür. Farine değişik oranlarda RDF ilavesi sonucunda klinkerin kimyasal ve mineralojik analizleri açısından herhangi bir sorun teşkil edecek durum gözlemlenmemiştir. RDF’nin bileşiminden kaynaklanan klor artışının beklenen düzeyde olduğu, buna rağmen sınır değerinin altında bulunduğu görülmüştür. Elde edilen sonuçlara göre, pilot döner fırında yapılan çalışmanın olumlu olduğu görülmüş, buradan elde edilen bulgular ışında </w:t>
      </w:r>
    </w:p>
    <w:p w:rsidR="00CC43FF" w:rsidRDefault="00CC43FF"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endüstriyel boyutta AKÇANSA A.Ş.’de deneyler yapılarak RDF’nin emisyon açısında etkisi incelenmiş ve endüstriyel boyutta RDF besleme oranı belirlenmesine yönelik deneyler yapılmıştır. </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outlineLvl w:val="0"/>
        <w:rPr>
          <w:rFonts w:ascii="Times New Roman" w:hAnsi="Times New Roman"/>
          <w:b/>
          <w:sz w:val="24"/>
          <w:szCs w:val="24"/>
        </w:rPr>
      </w:pPr>
      <w:r w:rsidRPr="00EC400F">
        <w:rPr>
          <w:rFonts w:ascii="Times New Roman" w:hAnsi="Times New Roman"/>
          <w:b/>
          <w:sz w:val="24"/>
          <w:szCs w:val="24"/>
        </w:rPr>
        <w:t>2.2.2. Endüstriyel ölçekli denemeler</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AKÇANSA A.Ş.’nin Büyükçekmece tesislerinde bulunan 1 numaralı çimento döner fırın kullanılarak değişik RDF oranlarında klinker üretilmiş ve üretilen klinkerin kimyasal, fiziksel ve mineralojik analizi yapılmış, </w:t>
      </w:r>
      <w:r w:rsidRPr="00D6441B">
        <w:rPr>
          <w:rFonts w:ascii="Times New Roman" w:hAnsi="Times New Roman"/>
          <w:sz w:val="24"/>
          <w:szCs w:val="24"/>
        </w:rPr>
        <w:lastRenderedPageBreak/>
        <w:t xml:space="preserve">sonuçlar Tablo 3 ve 4’de verilmiştir. Tablo 3’de görüldüğü gibi, mineralojik açıdan dört ana bileşen değerlerinin normal Portland çimentosundaki belirtilen değerlerle uyumlu olduğu görülmüştür. Tablo 4’den de görüldüğü </w:t>
      </w:r>
      <w:r w:rsidRPr="00D6441B">
        <w:rPr>
          <w:rFonts w:ascii="Times New Roman" w:hAnsi="Times New Roman"/>
          <w:sz w:val="24"/>
          <w:szCs w:val="24"/>
        </w:rPr>
        <w:lastRenderedPageBreak/>
        <w:t>gibi, klinkerin kimyasal analiz ile modüllerinin Portland çimentosu için belirlenmiş sınır değerler içinde olduğu görülmüştür.</w:t>
      </w:r>
    </w:p>
    <w:p w:rsidR="001F5FA8" w:rsidRPr="00D6441B" w:rsidRDefault="001F5FA8" w:rsidP="001F5FA8">
      <w:pPr>
        <w:spacing w:before="120" w:after="120" w:line="240" w:lineRule="auto"/>
        <w:jc w:val="both"/>
        <w:rPr>
          <w:rFonts w:ascii="Times New Roman" w:hAnsi="Times New Roman"/>
          <w:b/>
          <w:bCs/>
          <w:sz w:val="24"/>
          <w:szCs w:val="24"/>
        </w:rPr>
      </w:pPr>
      <w:bookmarkStart w:id="30" w:name="_Toc214247386"/>
    </w:p>
    <w:p w:rsidR="00CC43FF" w:rsidRDefault="00CC43FF" w:rsidP="001F5FA8">
      <w:pPr>
        <w:spacing w:before="120" w:after="120" w:line="240" w:lineRule="auto"/>
        <w:jc w:val="both"/>
        <w:rPr>
          <w:rFonts w:ascii="Times New Roman" w:hAnsi="Times New Roman"/>
          <w:b/>
          <w:bCs/>
          <w:sz w:val="24"/>
          <w:szCs w:val="24"/>
        </w:rPr>
        <w:sectPr w:rsidR="00CC43FF" w:rsidSect="00E230BE">
          <w:type w:val="continuous"/>
          <w:pgSz w:w="11906" w:h="16838"/>
          <w:pgMar w:top="1417" w:right="849" w:bottom="1417" w:left="1134" w:header="708" w:footer="340" w:gutter="0"/>
          <w:cols w:num="2" w:space="708"/>
          <w:docGrid w:linePitch="360"/>
        </w:sectPr>
      </w:pPr>
    </w:p>
    <w:p w:rsidR="00CC43FF" w:rsidRDefault="00CC43FF" w:rsidP="001F5FA8">
      <w:pPr>
        <w:spacing w:before="120" w:after="120" w:line="240" w:lineRule="auto"/>
        <w:jc w:val="both"/>
        <w:rPr>
          <w:rFonts w:ascii="Times New Roman" w:hAnsi="Times New Roman"/>
          <w:b/>
          <w:bCs/>
          <w:sz w:val="24"/>
          <w:szCs w:val="24"/>
        </w:rPr>
      </w:pPr>
    </w:p>
    <w:p w:rsidR="001F5FA8" w:rsidRPr="00D6441B" w:rsidRDefault="001F5FA8" w:rsidP="001F5FA8">
      <w:pPr>
        <w:spacing w:before="120" w:after="120" w:line="240" w:lineRule="auto"/>
        <w:jc w:val="both"/>
        <w:rPr>
          <w:rFonts w:ascii="Times New Roman" w:hAnsi="Times New Roman"/>
          <w:bCs/>
          <w:sz w:val="24"/>
          <w:szCs w:val="24"/>
        </w:rPr>
      </w:pPr>
      <w:r w:rsidRPr="00D6441B">
        <w:rPr>
          <w:rFonts w:ascii="Times New Roman" w:hAnsi="Times New Roman"/>
          <w:b/>
          <w:bCs/>
          <w:sz w:val="24"/>
          <w:szCs w:val="24"/>
        </w:rPr>
        <w:t>Tablo 3.</w:t>
      </w:r>
      <w:r w:rsidRPr="00D6441B">
        <w:rPr>
          <w:rFonts w:ascii="Times New Roman" w:hAnsi="Times New Roman"/>
          <w:bCs/>
          <w:sz w:val="24"/>
          <w:szCs w:val="24"/>
        </w:rPr>
        <w:t xml:space="preserve"> AKÇANSA A.Ş. Döner Fırınında Üretilen Klinkerin Ana Bileşenlerinin Özet Sonuçları</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01"/>
        <w:gridCol w:w="2085"/>
        <w:gridCol w:w="2085"/>
        <w:gridCol w:w="2085"/>
        <w:gridCol w:w="2083"/>
      </w:tblGrid>
      <w:tr w:rsidR="001F5FA8" w:rsidRPr="00D6441B" w:rsidTr="008D1314">
        <w:trPr>
          <w:trHeight w:val="270"/>
        </w:trPr>
        <w:tc>
          <w:tcPr>
            <w:tcW w:w="888" w:type="pct"/>
            <w:shd w:val="clear" w:color="auto" w:fill="FFFFFF"/>
            <w:vAlign w:val="center"/>
          </w:tcPr>
          <w:p w:rsidR="001F5FA8" w:rsidRPr="00D6441B" w:rsidRDefault="001F5FA8" w:rsidP="008D1314">
            <w:pPr>
              <w:spacing w:after="0" w:line="240" w:lineRule="auto"/>
              <w:jc w:val="both"/>
              <w:rPr>
                <w:rFonts w:ascii="Times New Roman" w:hAnsi="Times New Roman"/>
                <w:b/>
                <w:sz w:val="24"/>
                <w:szCs w:val="24"/>
              </w:rPr>
            </w:pPr>
          </w:p>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Ana Modüller</w:t>
            </w:r>
          </w:p>
        </w:tc>
        <w:tc>
          <w:tcPr>
            <w:tcW w:w="1028" w:type="pct"/>
            <w:shd w:val="clear" w:color="auto" w:fill="FFFFFF"/>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0 RDF + % 100 Petrokok Deneyi</w:t>
            </w:r>
          </w:p>
        </w:tc>
        <w:tc>
          <w:tcPr>
            <w:tcW w:w="1028" w:type="pct"/>
            <w:shd w:val="clear" w:color="auto" w:fill="FFFFFF"/>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8 RDF + % 92 Petrokok Deneyi</w:t>
            </w:r>
          </w:p>
        </w:tc>
        <w:tc>
          <w:tcPr>
            <w:tcW w:w="1028" w:type="pct"/>
            <w:shd w:val="clear" w:color="auto" w:fill="FFFFFF"/>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12 RDF + % 88 Petrokok Deneyi</w:t>
            </w:r>
          </w:p>
        </w:tc>
        <w:tc>
          <w:tcPr>
            <w:tcW w:w="1027" w:type="pct"/>
            <w:shd w:val="clear" w:color="auto" w:fill="FFFFFF"/>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15 RDF + % 85 Petrokok Deneyi</w:t>
            </w:r>
          </w:p>
          <w:p w:rsidR="001F5FA8" w:rsidRPr="00D6441B" w:rsidRDefault="001F5FA8" w:rsidP="008D1314">
            <w:pPr>
              <w:spacing w:after="0" w:line="240" w:lineRule="auto"/>
              <w:jc w:val="both"/>
              <w:rPr>
                <w:rFonts w:ascii="Times New Roman" w:hAnsi="Times New Roman"/>
                <w:b/>
                <w:sz w:val="24"/>
                <w:szCs w:val="24"/>
              </w:rPr>
            </w:pPr>
          </w:p>
        </w:tc>
      </w:tr>
      <w:tr w:rsidR="001F5FA8" w:rsidRPr="00D6441B" w:rsidTr="008D1314">
        <w:trPr>
          <w:trHeight w:val="270"/>
        </w:trPr>
        <w:tc>
          <w:tcPr>
            <w:tcW w:w="88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Cs/>
                <w:sz w:val="24"/>
                <w:szCs w:val="24"/>
              </w:rPr>
              <w:t>C</w:t>
            </w:r>
            <w:r w:rsidRPr="00D6441B">
              <w:rPr>
                <w:rFonts w:ascii="Times New Roman" w:hAnsi="Times New Roman"/>
                <w:bCs/>
                <w:sz w:val="24"/>
                <w:szCs w:val="24"/>
                <w:vertAlign w:val="subscript"/>
              </w:rPr>
              <w:t>3</w:t>
            </w:r>
            <w:r w:rsidRPr="00D6441B">
              <w:rPr>
                <w:rFonts w:ascii="Times New Roman" w:hAnsi="Times New Roman"/>
                <w:bCs/>
                <w:sz w:val="24"/>
                <w:szCs w:val="24"/>
              </w:rPr>
              <w:t>S</w:t>
            </w:r>
          </w:p>
        </w:tc>
        <w:tc>
          <w:tcPr>
            <w:tcW w:w="102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59,70</w:t>
            </w:r>
          </w:p>
        </w:tc>
        <w:tc>
          <w:tcPr>
            <w:tcW w:w="1028" w:type="pct"/>
            <w:shd w:val="clear" w:color="auto" w:fill="FFFFFF"/>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63,32</w:t>
            </w:r>
          </w:p>
        </w:tc>
        <w:tc>
          <w:tcPr>
            <w:tcW w:w="102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63,40</w:t>
            </w:r>
          </w:p>
        </w:tc>
        <w:tc>
          <w:tcPr>
            <w:tcW w:w="1027"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62,97</w:t>
            </w:r>
          </w:p>
        </w:tc>
      </w:tr>
      <w:tr w:rsidR="001F5FA8" w:rsidRPr="00D6441B" w:rsidTr="008D1314">
        <w:trPr>
          <w:trHeight w:val="270"/>
        </w:trPr>
        <w:tc>
          <w:tcPr>
            <w:tcW w:w="88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Cs/>
                <w:sz w:val="24"/>
                <w:szCs w:val="24"/>
              </w:rPr>
              <w:t>C</w:t>
            </w:r>
            <w:r w:rsidRPr="00D6441B">
              <w:rPr>
                <w:rFonts w:ascii="Times New Roman" w:hAnsi="Times New Roman"/>
                <w:bCs/>
                <w:sz w:val="24"/>
                <w:szCs w:val="24"/>
                <w:vertAlign w:val="subscript"/>
              </w:rPr>
              <w:t>2</w:t>
            </w:r>
            <w:r w:rsidRPr="00D6441B">
              <w:rPr>
                <w:rFonts w:ascii="Times New Roman" w:hAnsi="Times New Roman"/>
                <w:bCs/>
                <w:sz w:val="24"/>
                <w:szCs w:val="24"/>
              </w:rPr>
              <w:t>S</w:t>
            </w:r>
          </w:p>
        </w:tc>
        <w:tc>
          <w:tcPr>
            <w:tcW w:w="102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15,94</w:t>
            </w:r>
          </w:p>
        </w:tc>
        <w:tc>
          <w:tcPr>
            <w:tcW w:w="1028" w:type="pct"/>
            <w:shd w:val="clear" w:color="auto" w:fill="FFFFFF"/>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12,29</w:t>
            </w:r>
          </w:p>
        </w:tc>
        <w:tc>
          <w:tcPr>
            <w:tcW w:w="102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12,03</w:t>
            </w:r>
          </w:p>
        </w:tc>
        <w:tc>
          <w:tcPr>
            <w:tcW w:w="1027"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12,95</w:t>
            </w:r>
          </w:p>
        </w:tc>
      </w:tr>
      <w:tr w:rsidR="001F5FA8" w:rsidRPr="00D6441B" w:rsidTr="008D1314">
        <w:trPr>
          <w:trHeight w:val="270"/>
        </w:trPr>
        <w:tc>
          <w:tcPr>
            <w:tcW w:w="88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Cs/>
                <w:sz w:val="24"/>
                <w:szCs w:val="24"/>
              </w:rPr>
              <w:t>C</w:t>
            </w:r>
            <w:r w:rsidRPr="00D6441B">
              <w:rPr>
                <w:rFonts w:ascii="Times New Roman" w:hAnsi="Times New Roman"/>
                <w:bCs/>
                <w:sz w:val="24"/>
                <w:szCs w:val="24"/>
                <w:vertAlign w:val="subscript"/>
              </w:rPr>
              <w:t>3</w:t>
            </w:r>
            <w:r w:rsidRPr="00D6441B">
              <w:rPr>
                <w:rFonts w:ascii="Times New Roman" w:hAnsi="Times New Roman"/>
                <w:bCs/>
                <w:sz w:val="24"/>
                <w:szCs w:val="24"/>
              </w:rPr>
              <w:t>A</w:t>
            </w:r>
          </w:p>
        </w:tc>
        <w:tc>
          <w:tcPr>
            <w:tcW w:w="102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6,75</w:t>
            </w:r>
          </w:p>
        </w:tc>
        <w:tc>
          <w:tcPr>
            <w:tcW w:w="1028" w:type="pct"/>
            <w:shd w:val="clear" w:color="auto" w:fill="FFFFFF"/>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6,61</w:t>
            </w:r>
          </w:p>
        </w:tc>
        <w:tc>
          <w:tcPr>
            <w:tcW w:w="102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6,80</w:t>
            </w:r>
          </w:p>
        </w:tc>
        <w:tc>
          <w:tcPr>
            <w:tcW w:w="1027"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6,85</w:t>
            </w:r>
          </w:p>
        </w:tc>
      </w:tr>
      <w:tr w:rsidR="001F5FA8" w:rsidRPr="00D6441B" w:rsidTr="008D1314">
        <w:trPr>
          <w:trHeight w:val="270"/>
        </w:trPr>
        <w:tc>
          <w:tcPr>
            <w:tcW w:w="88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Cs/>
                <w:sz w:val="24"/>
                <w:szCs w:val="24"/>
              </w:rPr>
              <w:t>C</w:t>
            </w:r>
            <w:r w:rsidRPr="00D6441B">
              <w:rPr>
                <w:rFonts w:ascii="Times New Roman" w:hAnsi="Times New Roman"/>
                <w:bCs/>
                <w:sz w:val="24"/>
                <w:szCs w:val="24"/>
                <w:vertAlign w:val="subscript"/>
              </w:rPr>
              <w:t>4</w:t>
            </w:r>
            <w:r w:rsidRPr="00D6441B">
              <w:rPr>
                <w:rFonts w:ascii="Times New Roman" w:hAnsi="Times New Roman"/>
                <w:bCs/>
                <w:sz w:val="24"/>
                <w:szCs w:val="24"/>
              </w:rPr>
              <w:t>AF</w:t>
            </w:r>
          </w:p>
        </w:tc>
        <w:tc>
          <w:tcPr>
            <w:tcW w:w="1028"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10,85</w:t>
            </w:r>
          </w:p>
        </w:tc>
        <w:tc>
          <w:tcPr>
            <w:tcW w:w="1028" w:type="pct"/>
            <w:shd w:val="clear" w:color="auto" w:fill="FFFFFF"/>
            <w:vAlign w:val="bottom"/>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11,02</w:t>
            </w:r>
          </w:p>
        </w:tc>
        <w:tc>
          <w:tcPr>
            <w:tcW w:w="1028" w:type="pct"/>
            <w:shd w:val="clear" w:color="auto" w:fill="FFFFFF"/>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11,07</w:t>
            </w:r>
          </w:p>
        </w:tc>
        <w:tc>
          <w:tcPr>
            <w:tcW w:w="1027" w:type="pct"/>
            <w:shd w:val="clear" w:color="auto" w:fill="FFFFFF"/>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10,75</w:t>
            </w:r>
          </w:p>
        </w:tc>
      </w:tr>
    </w:tbl>
    <w:p w:rsidR="00CC43FF" w:rsidRDefault="00CC43FF" w:rsidP="001F5FA8">
      <w:pPr>
        <w:spacing w:before="120" w:after="120" w:line="240" w:lineRule="auto"/>
        <w:jc w:val="both"/>
        <w:rPr>
          <w:rFonts w:ascii="Times New Roman" w:hAnsi="Times New Roman"/>
          <w:b/>
          <w:sz w:val="24"/>
          <w:szCs w:val="24"/>
        </w:rPr>
        <w:sectPr w:rsidR="00CC43FF" w:rsidSect="00CC43FF">
          <w:type w:val="continuous"/>
          <w:pgSz w:w="11906" w:h="16838"/>
          <w:pgMar w:top="1417" w:right="849" w:bottom="1417" w:left="1134" w:header="708" w:footer="708" w:gutter="0"/>
          <w:cols w:space="708"/>
          <w:docGrid w:linePitch="360"/>
        </w:sectPr>
      </w:pPr>
    </w:p>
    <w:p w:rsidR="001F5FA8" w:rsidRPr="00D6441B" w:rsidRDefault="001F5FA8" w:rsidP="001F5FA8">
      <w:pPr>
        <w:spacing w:before="120" w:after="120" w:line="240" w:lineRule="auto"/>
        <w:jc w:val="both"/>
        <w:rPr>
          <w:rFonts w:ascii="Times New Roman" w:hAnsi="Times New Roman"/>
          <w:b/>
          <w:sz w:val="24"/>
          <w:szCs w:val="24"/>
        </w:rPr>
      </w:pPr>
    </w:p>
    <w:p w:rsidR="00CC43FF" w:rsidRDefault="001F5FA8" w:rsidP="001F5FA8">
      <w:pPr>
        <w:tabs>
          <w:tab w:val="left" w:pos="3060"/>
        </w:tabs>
        <w:spacing w:before="120" w:after="120" w:line="240" w:lineRule="auto"/>
        <w:jc w:val="both"/>
        <w:outlineLvl w:val="0"/>
        <w:rPr>
          <w:rFonts w:ascii="Times New Roman" w:hAnsi="Times New Roman"/>
          <w:sz w:val="24"/>
          <w:szCs w:val="24"/>
        </w:rPr>
      </w:pPr>
      <w:r w:rsidRPr="00D6441B">
        <w:rPr>
          <w:rFonts w:ascii="Times New Roman" w:hAnsi="Times New Roman"/>
          <w:sz w:val="24"/>
          <w:szCs w:val="24"/>
        </w:rPr>
        <w:t xml:space="preserve">Endüstriyel ölçekli deneysel çalışma esnasında baca gazında emisyon ölçümleri yapılmıştır. Elde edilen emisyon değerlerinin sınır değerler ile karşılaştırma yapılması için “Atıkların Yakılmasına İlişkin Yönetmelik”te </w:t>
      </w:r>
    </w:p>
    <w:p w:rsidR="00CC43FF" w:rsidRDefault="00CC43FF" w:rsidP="001F5FA8">
      <w:pPr>
        <w:tabs>
          <w:tab w:val="left" w:pos="3060"/>
        </w:tabs>
        <w:spacing w:before="120" w:after="120" w:line="240" w:lineRule="auto"/>
        <w:jc w:val="both"/>
        <w:outlineLvl w:val="0"/>
        <w:rPr>
          <w:rFonts w:ascii="Times New Roman" w:hAnsi="Times New Roman"/>
          <w:sz w:val="24"/>
          <w:szCs w:val="24"/>
        </w:rPr>
      </w:pPr>
    </w:p>
    <w:p w:rsidR="00CC43FF" w:rsidRDefault="00CC43FF" w:rsidP="001F5FA8">
      <w:pPr>
        <w:tabs>
          <w:tab w:val="left" w:pos="3060"/>
        </w:tabs>
        <w:spacing w:before="120" w:after="120" w:line="240" w:lineRule="auto"/>
        <w:jc w:val="both"/>
        <w:outlineLvl w:val="0"/>
        <w:rPr>
          <w:rFonts w:ascii="Times New Roman" w:hAnsi="Times New Roman"/>
          <w:sz w:val="24"/>
          <w:szCs w:val="24"/>
        </w:rPr>
      </w:pPr>
    </w:p>
    <w:p w:rsidR="001F5FA8" w:rsidRPr="00D6441B" w:rsidRDefault="001F5FA8" w:rsidP="001F5FA8">
      <w:pPr>
        <w:tabs>
          <w:tab w:val="left" w:pos="3060"/>
        </w:tabs>
        <w:spacing w:before="120" w:after="120" w:line="240" w:lineRule="auto"/>
        <w:jc w:val="both"/>
        <w:outlineLvl w:val="0"/>
        <w:rPr>
          <w:rFonts w:ascii="Times New Roman" w:hAnsi="Times New Roman"/>
          <w:sz w:val="24"/>
          <w:szCs w:val="24"/>
        </w:rPr>
      </w:pPr>
      <w:r w:rsidRPr="00D6441B">
        <w:rPr>
          <w:rFonts w:ascii="Times New Roman" w:hAnsi="Times New Roman"/>
          <w:sz w:val="24"/>
          <w:szCs w:val="24"/>
        </w:rPr>
        <w:t>(Tarih:06.10.2010, Sayı:27721) belirtilen ve EK-2’de verilen C sınır değerleri hesaplanmıştır. Hesap yoluyla bulunan C sınır değerleri ile deneysel çalışma esnasında ölçülen C değerleri Tablo 5’de verilmiştir.</w:t>
      </w:r>
    </w:p>
    <w:p w:rsidR="00CC43FF" w:rsidRDefault="00CC43FF" w:rsidP="001F5FA8">
      <w:pPr>
        <w:spacing w:before="120" w:after="120" w:line="240" w:lineRule="auto"/>
        <w:jc w:val="both"/>
        <w:outlineLvl w:val="0"/>
        <w:rPr>
          <w:rFonts w:ascii="Times New Roman" w:eastAsia="Calibri" w:hAnsi="Times New Roman"/>
          <w:b/>
          <w:bCs/>
          <w:sz w:val="24"/>
          <w:szCs w:val="24"/>
        </w:rPr>
        <w:sectPr w:rsidR="00CC43FF" w:rsidSect="00273EA0">
          <w:type w:val="continuous"/>
          <w:pgSz w:w="11906" w:h="16838"/>
          <w:pgMar w:top="1417" w:right="849" w:bottom="1417" w:left="1134" w:header="708" w:footer="708" w:gutter="0"/>
          <w:cols w:num="2" w:space="708"/>
          <w:docGrid w:linePitch="360"/>
        </w:sectPr>
      </w:pPr>
      <w:bookmarkStart w:id="31" w:name="_Toc214247385"/>
    </w:p>
    <w:p w:rsidR="00990ABB" w:rsidRDefault="00990ABB" w:rsidP="001F5FA8">
      <w:pPr>
        <w:spacing w:before="120" w:after="120" w:line="240" w:lineRule="auto"/>
        <w:jc w:val="both"/>
        <w:outlineLvl w:val="0"/>
        <w:rPr>
          <w:rFonts w:ascii="Times New Roman" w:eastAsia="Calibri" w:hAnsi="Times New Roman"/>
          <w:b/>
          <w:bCs/>
          <w:sz w:val="24"/>
          <w:szCs w:val="24"/>
        </w:rPr>
      </w:pPr>
    </w:p>
    <w:p w:rsidR="001F5FA8" w:rsidRPr="00D6441B" w:rsidRDefault="001F5FA8" w:rsidP="001F5FA8">
      <w:pPr>
        <w:spacing w:before="120" w:after="120" w:line="240" w:lineRule="auto"/>
        <w:jc w:val="both"/>
        <w:outlineLvl w:val="0"/>
        <w:rPr>
          <w:rFonts w:ascii="Times New Roman" w:eastAsia="Calibri" w:hAnsi="Times New Roman"/>
          <w:b/>
          <w:bCs/>
          <w:sz w:val="24"/>
          <w:szCs w:val="24"/>
        </w:rPr>
      </w:pPr>
      <w:r w:rsidRPr="00D6441B">
        <w:rPr>
          <w:rFonts w:ascii="Times New Roman" w:eastAsia="Calibri" w:hAnsi="Times New Roman"/>
          <w:b/>
          <w:bCs/>
          <w:sz w:val="24"/>
          <w:szCs w:val="24"/>
        </w:rPr>
        <w:t xml:space="preserve">Tablo 4. </w:t>
      </w:r>
      <w:r w:rsidRPr="00D6441B">
        <w:rPr>
          <w:rFonts w:ascii="Times New Roman" w:eastAsia="Calibri" w:hAnsi="Times New Roman"/>
          <w:bCs/>
          <w:sz w:val="24"/>
          <w:szCs w:val="24"/>
        </w:rPr>
        <w:t xml:space="preserve">AKÇANSA A.Ş. Döner Fırınında Üretilen Klinkerin Kimyasal Analiz </w:t>
      </w:r>
      <w:bookmarkEnd w:id="31"/>
      <w:r w:rsidRPr="00D6441B">
        <w:rPr>
          <w:rFonts w:ascii="Times New Roman" w:eastAsia="Calibri" w:hAnsi="Times New Roman"/>
          <w:bCs/>
          <w:sz w:val="24"/>
          <w:szCs w:val="24"/>
        </w:rPr>
        <w:t>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1163"/>
        <w:gridCol w:w="1784"/>
        <w:gridCol w:w="1803"/>
        <w:gridCol w:w="1803"/>
        <w:gridCol w:w="1250"/>
      </w:tblGrid>
      <w:tr w:rsidR="001F5FA8" w:rsidRPr="00D6441B" w:rsidTr="008D1314">
        <w:trPr>
          <w:cantSplit/>
          <w:trHeight w:val="1063"/>
        </w:trPr>
        <w:tc>
          <w:tcPr>
            <w:tcW w:w="1170" w:type="pct"/>
            <w:shd w:val="clear" w:color="auto" w:fill="auto"/>
            <w:vAlign w:val="center"/>
          </w:tcPr>
          <w:p w:rsidR="001F5FA8" w:rsidRPr="00D6441B" w:rsidRDefault="001F5FA8" w:rsidP="008D1314">
            <w:pPr>
              <w:spacing w:after="0" w:line="240" w:lineRule="auto"/>
              <w:jc w:val="both"/>
              <w:rPr>
                <w:rFonts w:ascii="Times New Roman" w:eastAsia="Calibri" w:hAnsi="Times New Roman"/>
                <w:b/>
                <w:sz w:val="24"/>
                <w:szCs w:val="24"/>
              </w:rPr>
            </w:pPr>
            <w:r w:rsidRPr="00D6441B">
              <w:rPr>
                <w:rFonts w:ascii="Times New Roman" w:eastAsia="Calibri" w:hAnsi="Times New Roman"/>
                <w:b/>
                <w:sz w:val="24"/>
                <w:szCs w:val="24"/>
              </w:rPr>
              <w:t>Bileşenler</w:t>
            </w:r>
          </w:p>
          <w:p w:rsidR="001F5FA8" w:rsidRPr="00D6441B" w:rsidRDefault="001F5FA8" w:rsidP="008D1314">
            <w:pPr>
              <w:spacing w:after="0" w:line="240" w:lineRule="auto"/>
              <w:jc w:val="both"/>
              <w:rPr>
                <w:rFonts w:ascii="Times New Roman" w:eastAsia="Calibri" w:hAnsi="Times New Roman"/>
                <w:b/>
                <w:sz w:val="24"/>
                <w:szCs w:val="24"/>
              </w:rPr>
            </w:pPr>
            <w:r w:rsidRPr="00D6441B">
              <w:rPr>
                <w:rFonts w:ascii="Times New Roman" w:eastAsia="Calibri" w:hAnsi="Times New Roman"/>
                <w:b/>
                <w:sz w:val="24"/>
                <w:szCs w:val="24"/>
              </w:rPr>
              <w:t>ve Modüller</w:t>
            </w:r>
          </w:p>
        </w:tc>
        <w:tc>
          <w:tcPr>
            <w:tcW w:w="587" w:type="pct"/>
            <w:shd w:val="clear" w:color="auto" w:fill="auto"/>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0 RDF + % 100 Petrokok Deneyi</w:t>
            </w:r>
          </w:p>
        </w:tc>
        <w:tc>
          <w:tcPr>
            <w:tcW w:w="902" w:type="pct"/>
            <w:shd w:val="clear" w:color="auto" w:fill="auto"/>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8 RDF + % 92 Petrokok Deneyi</w:t>
            </w:r>
          </w:p>
        </w:tc>
        <w:tc>
          <w:tcPr>
            <w:tcW w:w="907" w:type="pct"/>
            <w:shd w:val="clear" w:color="auto" w:fill="auto"/>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12 RDF + % 88 Petrokok Deneyi</w:t>
            </w:r>
          </w:p>
        </w:tc>
        <w:tc>
          <w:tcPr>
            <w:tcW w:w="907" w:type="pct"/>
            <w:shd w:val="clear" w:color="auto" w:fill="auto"/>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 15 RDF + % 85 Petrokok Deneyi</w:t>
            </w:r>
          </w:p>
        </w:tc>
        <w:tc>
          <w:tcPr>
            <w:tcW w:w="527" w:type="pct"/>
            <w:shd w:val="clear" w:color="auto" w:fill="auto"/>
            <w:vAlign w:val="center"/>
          </w:tcPr>
          <w:p w:rsidR="001F5FA8" w:rsidRPr="00D6441B" w:rsidRDefault="001F5FA8" w:rsidP="008D1314">
            <w:pPr>
              <w:spacing w:after="0" w:line="240" w:lineRule="auto"/>
              <w:jc w:val="both"/>
              <w:rPr>
                <w:rFonts w:ascii="Times New Roman" w:eastAsia="Calibri" w:hAnsi="Times New Roman"/>
                <w:b/>
                <w:sz w:val="24"/>
                <w:szCs w:val="24"/>
              </w:rPr>
            </w:pPr>
            <w:r w:rsidRPr="00D6441B">
              <w:rPr>
                <w:rFonts w:ascii="Times New Roman" w:eastAsia="Calibri" w:hAnsi="Times New Roman"/>
                <w:b/>
                <w:bCs/>
                <w:sz w:val="24"/>
                <w:szCs w:val="24"/>
              </w:rPr>
              <w:t>Sınır Değerler (Erdoğan, 2004)</w:t>
            </w:r>
          </w:p>
        </w:tc>
      </w:tr>
      <w:tr w:rsidR="001F5FA8" w:rsidRPr="00D6441B" w:rsidTr="008D1314">
        <w:trPr>
          <w:trHeight w:val="253"/>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CaO</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66,24</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66,29</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66,41</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66,61</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60 – 67</w:t>
            </w: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SiO</w:t>
            </w:r>
            <w:r w:rsidRPr="00D6441B">
              <w:rPr>
                <w:rFonts w:ascii="Times New Roman" w:eastAsia="Calibri" w:hAnsi="Times New Roman"/>
                <w:sz w:val="24"/>
                <w:szCs w:val="24"/>
                <w:vertAlign w:val="subscript"/>
              </w:rPr>
              <w:t>2</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21,27</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20,95</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20,88</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21,09</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17 – 25</w:t>
            </w:r>
          </w:p>
        </w:tc>
      </w:tr>
      <w:tr w:rsidR="001F5FA8" w:rsidRPr="00D6441B" w:rsidTr="008D1314">
        <w:trPr>
          <w:trHeight w:val="253"/>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Al</w:t>
            </w:r>
            <w:r w:rsidRPr="00D6441B">
              <w:rPr>
                <w:rFonts w:ascii="Times New Roman" w:eastAsia="Calibri" w:hAnsi="Times New Roman"/>
                <w:sz w:val="24"/>
                <w:szCs w:val="24"/>
                <w:vertAlign w:val="subscript"/>
              </w:rPr>
              <w:t>2</w:t>
            </w:r>
            <w:r w:rsidRPr="00D6441B">
              <w:rPr>
                <w:rFonts w:ascii="Times New Roman" w:eastAsia="Calibri" w:hAnsi="Times New Roman"/>
                <w:sz w:val="24"/>
                <w:szCs w:val="24"/>
              </w:rPr>
              <w:t>O</w:t>
            </w:r>
            <w:r w:rsidRPr="00D6441B">
              <w:rPr>
                <w:rFonts w:ascii="Times New Roman" w:eastAsia="Calibri" w:hAnsi="Times New Roman"/>
                <w:sz w:val="24"/>
                <w:szCs w:val="24"/>
                <w:vertAlign w:val="subscript"/>
              </w:rPr>
              <w:t>3</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4,83</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4,81</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4,89</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4,84</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3 – 8</w:t>
            </w: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Fe</w:t>
            </w:r>
            <w:r w:rsidRPr="00D6441B">
              <w:rPr>
                <w:rFonts w:ascii="Times New Roman" w:eastAsia="Calibri" w:hAnsi="Times New Roman"/>
                <w:sz w:val="24"/>
                <w:szCs w:val="24"/>
                <w:vertAlign w:val="subscript"/>
              </w:rPr>
              <w:t>2</w:t>
            </w:r>
            <w:r w:rsidRPr="00D6441B">
              <w:rPr>
                <w:rFonts w:ascii="Times New Roman" w:eastAsia="Calibri" w:hAnsi="Times New Roman"/>
                <w:sz w:val="24"/>
                <w:szCs w:val="24"/>
              </w:rPr>
              <w:t>O</w:t>
            </w:r>
            <w:r w:rsidRPr="00D6441B">
              <w:rPr>
                <w:rFonts w:ascii="Times New Roman" w:eastAsia="Calibri" w:hAnsi="Times New Roman"/>
                <w:sz w:val="24"/>
                <w:szCs w:val="24"/>
                <w:vertAlign w:val="subscript"/>
              </w:rPr>
              <w:t>3</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3,57</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3,62</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3,64</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3,53</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0,5 – 6</w:t>
            </w: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MgO</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1,19</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1,17</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1,38</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1,15</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0,1 – 4</w:t>
            </w:r>
          </w:p>
        </w:tc>
      </w:tr>
      <w:tr w:rsidR="001F5FA8" w:rsidRPr="00D6441B" w:rsidTr="008D1314">
        <w:trPr>
          <w:trHeight w:val="253"/>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K</w:t>
            </w:r>
            <w:r w:rsidRPr="00D6441B">
              <w:rPr>
                <w:rFonts w:ascii="Times New Roman" w:eastAsia="Calibri" w:hAnsi="Times New Roman"/>
                <w:sz w:val="24"/>
                <w:szCs w:val="24"/>
                <w:vertAlign w:val="subscript"/>
              </w:rPr>
              <w:t>2</w:t>
            </w:r>
            <w:r w:rsidRPr="00D6441B">
              <w:rPr>
                <w:rFonts w:ascii="Times New Roman" w:eastAsia="Calibri" w:hAnsi="Times New Roman"/>
                <w:sz w:val="24"/>
                <w:szCs w:val="24"/>
              </w:rPr>
              <w:t>O</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0,81</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0,80</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0,77</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0,82</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0,2 – 1,3</w:t>
            </w: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Cl</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0,0268</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0,0275</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0,0366</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0,0314</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Maks. 0,1</w:t>
            </w:r>
          </w:p>
        </w:tc>
      </w:tr>
      <w:tr w:rsidR="001F5FA8" w:rsidRPr="00D6441B" w:rsidTr="008D1314">
        <w:trPr>
          <w:trHeight w:val="253"/>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Na</w:t>
            </w:r>
            <w:r w:rsidRPr="00D6441B">
              <w:rPr>
                <w:rFonts w:ascii="Times New Roman" w:eastAsia="Calibri" w:hAnsi="Times New Roman"/>
                <w:sz w:val="24"/>
                <w:szCs w:val="24"/>
                <w:vertAlign w:val="subscript"/>
              </w:rPr>
              <w:t>2</w:t>
            </w:r>
            <w:r w:rsidRPr="00D6441B">
              <w:rPr>
                <w:rFonts w:ascii="Times New Roman" w:eastAsia="Calibri" w:hAnsi="Times New Roman"/>
                <w:sz w:val="24"/>
                <w:szCs w:val="24"/>
              </w:rPr>
              <w:t>O</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0,3576</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0,3500</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0,4233</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0,3642</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0,2 – 1,3</w:t>
            </w: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TiO</w:t>
            </w:r>
            <w:r w:rsidRPr="00D6441B">
              <w:rPr>
                <w:rFonts w:ascii="Times New Roman" w:eastAsia="Calibri" w:hAnsi="Times New Roman"/>
                <w:sz w:val="24"/>
                <w:szCs w:val="24"/>
                <w:vertAlign w:val="subscript"/>
              </w:rPr>
              <w:t>2</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0,29</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0,29</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0,30</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0,29</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p>
        </w:tc>
      </w:tr>
      <w:tr w:rsidR="001F5FA8" w:rsidRPr="00D6441B" w:rsidTr="008D1314">
        <w:trPr>
          <w:trHeight w:val="253"/>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SO</w:t>
            </w:r>
            <w:r w:rsidRPr="00D6441B">
              <w:rPr>
                <w:rFonts w:ascii="Times New Roman" w:eastAsia="Calibri" w:hAnsi="Times New Roman"/>
                <w:sz w:val="24"/>
                <w:szCs w:val="24"/>
                <w:vertAlign w:val="subscript"/>
              </w:rPr>
              <w:t>3</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1,14</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1,18</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1,07</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1,09</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1–3</w:t>
            </w: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MnO</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0,05</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0,05</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0,05</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0,05</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b/>
                <w:sz w:val="24"/>
                <w:szCs w:val="24"/>
              </w:rPr>
            </w:pPr>
            <w:r w:rsidRPr="00D6441B">
              <w:rPr>
                <w:rFonts w:ascii="Times New Roman" w:eastAsia="Calibri" w:hAnsi="Times New Roman"/>
                <w:sz w:val="24"/>
                <w:szCs w:val="24"/>
              </w:rPr>
              <w:t>Tayin Edilemeyen</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0,22</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0,46</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0,15</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0,13</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p>
        </w:tc>
      </w:tr>
      <w:tr w:rsidR="001F5FA8" w:rsidRPr="00D6441B" w:rsidTr="008D1314">
        <w:trPr>
          <w:trHeight w:val="253"/>
        </w:trPr>
        <w:tc>
          <w:tcPr>
            <w:tcW w:w="1170" w:type="pct"/>
            <w:vAlign w:val="center"/>
          </w:tcPr>
          <w:p w:rsidR="001F5FA8" w:rsidRPr="00D6441B" w:rsidRDefault="001F5FA8" w:rsidP="008D1314">
            <w:pPr>
              <w:spacing w:after="0" w:line="240" w:lineRule="auto"/>
              <w:jc w:val="both"/>
              <w:rPr>
                <w:rFonts w:ascii="Times New Roman" w:eastAsia="Calibri" w:hAnsi="Times New Roman"/>
                <w:b/>
                <w:sz w:val="24"/>
                <w:szCs w:val="24"/>
              </w:rPr>
            </w:pPr>
            <w:r w:rsidRPr="00D6441B">
              <w:rPr>
                <w:rFonts w:ascii="Times New Roman" w:eastAsia="Calibri" w:hAnsi="Times New Roman"/>
                <w:b/>
                <w:sz w:val="24"/>
                <w:szCs w:val="24"/>
              </w:rPr>
              <w:t>Toplam</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99,78</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99,54</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100,00</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99,87</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p>
        </w:tc>
      </w:tr>
      <w:tr w:rsidR="001F5FA8" w:rsidRPr="00D6441B" w:rsidTr="008D1314">
        <w:trPr>
          <w:trHeight w:val="253"/>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Kireç Standardı (K.S.T.)</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98,10</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99,41</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99,72</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99,36</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 92–96</w:t>
            </w:r>
          </w:p>
        </w:tc>
      </w:tr>
      <w:tr w:rsidR="001F5FA8" w:rsidRPr="00D6441B" w:rsidTr="00990ABB">
        <w:trPr>
          <w:trHeight w:val="253"/>
        </w:trPr>
        <w:tc>
          <w:tcPr>
            <w:tcW w:w="1170" w:type="pct"/>
            <w:tcBorders>
              <w:bottom w:val="nil"/>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Kireç Doygunluk Faktörü (L.S.F.)</w:t>
            </w:r>
          </w:p>
        </w:tc>
        <w:tc>
          <w:tcPr>
            <w:tcW w:w="587" w:type="pct"/>
            <w:tcBorders>
              <w:bottom w:val="nil"/>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0,97</w:t>
            </w:r>
          </w:p>
        </w:tc>
        <w:tc>
          <w:tcPr>
            <w:tcW w:w="902" w:type="pct"/>
            <w:tcBorders>
              <w:bottom w:val="nil"/>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0,98</w:t>
            </w:r>
          </w:p>
        </w:tc>
        <w:tc>
          <w:tcPr>
            <w:tcW w:w="907" w:type="pct"/>
            <w:tcBorders>
              <w:bottom w:val="nil"/>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0,96</w:t>
            </w:r>
          </w:p>
        </w:tc>
        <w:tc>
          <w:tcPr>
            <w:tcW w:w="907" w:type="pct"/>
            <w:tcBorders>
              <w:bottom w:val="nil"/>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0,98</w:t>
            </w:r>
          </w:p>
        </w:tc>
        <w:tc>
          <w:tcPr>
            <w:tcW w:w="527" w:type="pct"/>
            <w:tcBorders>
              <w:bottom w:val="nil"/>
            </w:tcBorders>
            <w:vAlign w:val="center"/>
          </w:tcPr>
          <w:p w:rsidR="001F5FA8" w:rsidRPr="00D6441B" w:rsidRDefault="001F5FA8" w:rsidP="008D1314">
            <w:pPr>
              <w:spacing w:after="0" w:line="240" w:lineRule="auto"/>
              <w:jc w:val="both"/>
              <w:rPr>
                <w:rFonts w:ascii="Times New Roman" w:eastAsia="Calibri" w:hAnsi="Times New Roman"/>
                <w:sz w:val="24"/>
                <w:szCs w:val="24"/>
              </w:rPr>
            </w:pPr>
          </w:p>
        </w:tc>
      </w:tr>
      <w:tr w:rsidR="00990ABB" w:rsidRPr="00D6441B" w:rsidTr="00990ABB">
        <w:trPr>
          <w:trHeight w:val="253"/>
        </w:trPr>
        <w:tc>
          <w:tcPr>
            <w:tcW w:w="1170" w:type="pct"/>
            <w:tcBorders>
              <w:top w:val="nil"/>
              <w:left w:val="nil"/>
              <w:bottom w:val="single" w:sz="4" w:space="0" w:color="auto"/>
              <w:right w:val="nil"/>
            </w:tcBorders>
            <w:vAlign w:val="center"/>
          </w:tcPr>
          <w:p w:rsidR="00990ABB" w:rsidRPr="00990ABB" w:rsidRDefault="00990ABB" w:rsidP="008D1314">
            <w:pPr>
              <w:spacing w:after="0" w:line="240" w:lineRule="auto"/>
              <w:jc w:val="both"/>
              <w:rPr>
                <w:rFonts w:ascii="Times New Roman" w:eastAsia="Calibri" w:hAnsi="Times New Roman"/>
                <w:b/>
                <w:sz w:val="24"/>
                <w:szCs w:val="24"/>
              </w:rPr>
            </w:pPr>
            <w:r w:rsidRPr="00990ABB">
              <w:rPr>
                <w:rFonts w:ascii="Times New Roman" w:eastAsia="Calibri" w:hAnsi="Times New Roman"/>
                <w:b/>
                <w:sz w:val="24"/>
                <w:szCs w:val="24"/>
              </w:rPr>
              <w:lastRenderedPageBreak/>
              <w:t>Tablo 4.Devam</w:t>
            </w:r>
          </w:p>
        </w:tc>
        <w:tc>
          <w:tcPr>
            <w:tcW w:w="587" w:type="pct"/>
            <w:tcBorders>
              <w:top w:val="nil"/>
              <w:left w:val="nil"/>
              <w:bottom w:val="single" w:sz="4" w:space="0" w:color="auto"/>
              <w:right w:val="nil"/>
            </w:tcBorders>
            <w:vAlign w:val="center"/>
          </w:tcPr>
          <w:p w:rsidR="00990ABB" w:rsidRPr="00D6441B" w:rsidRDefault="00990ABB" w:rsidP="008D1314">
            <w:pPr>
              <w:spacing w:after="0" w:line="240" w:lineRule="auto"/>
              <w:jc w:val="both"/>
              <w:rPr>
                <w:rFonts w:ascii="Times New Roman" w:eastAsia="Calibri" w:hAnsi="Times New Roman"/>
                <w:sz w:val="24"/>
                <w:szCs w:val="24"/>
              </w:rPr>
            </w:pPr>
          </w:p>
        </w:tc>
        <w:tc>
          <w:tcPr>
            <w:tcW w:w="902" w:type="pct"/>
            <w:tcBorders>
              <w:top w:val="nil"/>
              <w:left w:val="nil"/>
              <w:bottom w:val="single" w:sz="4" w:space="0" w:color="auto"/>
              <w:right w:val="nil"/>
            </w:tcBorders>
            <w:vAlign w:val="center"/>
          </w:tcPr>
          <w:p w:rsidR="00990ABB" w:rsidRPr="00D6441B" w:rsidRDefault="00990ABB" w:rsidP="008D1314">
            <w:pPr>
              <w:spacing w:after="0" w:line="240" w:lineRule="auto"/>
              <w:jc w:val="both"/>
              <w:rPr>
                <w:rFonts w:ascii="Times New Roman" w:eastAsia="Calibri" w:hAnsi="Times New Roman"/>
                <w:sz w:val="24"/>
                <w:szCs w:val="24"/>
              </w:rPr>
            </w:pPr>
          </w:p>
        </w:tc>
        <w:tc>
          <w:tcPr>
            <w:tcW w:w="907" w:type="pct"/>
            <w:tcBorders>
              <w:top w:val="nil"/>
              <w:left w:val="nil"/>
              <w:bottom w:val="single" w:sz="4" w:space="0" w:color="auto"/>
              <w:right w:val="nil"/>
            </w:tcBorders>
            <w:vAlign w:val="center"/>
          </w:tcPr>
          <w:p w:rsidR="00990ABB" w:rsidRPr="00D6441B" w:rsidRDefault="00990ABB" w:rsidP="008D1314">
            <w:pPr>
              <w:spacing w:after="0" w:line="240" w:lineRule="auto"/>
              <w:jc w:val="both"/>
              <w:rPr>
                <w:rFonts w:ascii="Times New Roman" w:eastAsia="Calibri" w:hAnsi="Times New Roman"/>
                <w:sz w:val="24"/>
                <w:szCs w:val="24"/>
              </w:rPr>
            </w:pPr>
          </w:p>
        </w:tc>
        <w:tc>
          <w:tcPr>
            <w:tcW w:w="907" w:type="pct"/>
            <w:tcBorders>
              <w:top w:val="nil"/>
              <w:left w:val="nil"/>
              <w:bottom w:val="single" w:sz="4" w:space="0" w:color="auto"/>
              <w:right w:val="nil"/>
            </w:tcBorders>
            <w:vAlign w:val="center"/>
          </w:tcPr>
          <w:p w:rsidR="00990ABB" w:rsidRPr="00D6441B" w:rsidRDefault="00990ABB" w:rsidP="008D1314">
            <w:pPr>
              <w:spacing w:after="0" w:line="240" w:lineRule="auto"/>
              <w:jc w:val="both"/>
              <w:rPr>
                <w:rFonts w:ascii="Times New Roman" w:eastAsia="Calibri" w:hAnsi="Times New Roman"/>
                <w:sz w:val="24"/>
                <w:szCs w:val="24"/>
              </w:rPr>
            </w:pPr>
          </w:p>
        </w:tc>
        <w:tc>
          <w:tcPr>
            <w:tcW w:w="527" w:type="pct"/>
            <w:tcBorders>
              <w:top w:val="nil"/>
              <w:left w:val="nil"/>
              <w:bottom w:val="single" w:sz="4" w:space="0" w:color="auto"/>
              <w:right w:val="nil"/>
            </w:tcBorders>
            <w:vAlign w:val="center"/>
          </w:tcPr>
          <w:p w:rsidR="00990ABB" w:rsidRPr="00D6441B" w:rsidRDefault="00990ABB" w:rsidP="008D1314">
            <w:pPr>
              <w:spacing w:after="0" w:line="240" w:lineRule="auto"/>
              <w:jc w:val="both"/>
              <w:rPr>
                <w:rFonts w:ascii="Times New Roman" w:eastAsia="Calibri" w:hAnsi="Times New Roman"/>
                <w:sz w:val="24"/>
                <w:szCs w:val="24"/>
              </w:rPr>
            </w:pPr>
          </w:p>
        </w:tc>
      </w:tr>
      <w:tr w:rsidR="001F5FA8" w:rsidRPr="00D6441B" w:rsidTr="00990ABB">
        <w:trPr>
          <w:trHeight w:val="253"/>
        </w:trPr>
        <w:tc>
          <w:tcPr>
            <w:tcW w:w="1170" w:type="pct"/>
            <w:tcBorders>
              <w:top w:val="single" w:sz="4" w:space="0" w:color="auto"/>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Silis Modülü (S.M)</w:t>
            </w:r>
          </w:p>
        </w:tc>
        <w:tc>
          <w:tcPr>
            <w:tcW w:w="587" w:type="pct"/>
            <w:tcBorders>
              <w:top w:val="single" w:sz="4" w:space="0" w:color="auto"/>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2,53</w:t>
            </w:r>
          </w:p>
        </w:tc>
        <w:tc>
          <w:tcPr>
            <w:tcW w:w="902" w:type="pct"/>
            <w:tcBorders>
              <w:top w:val="single" w:sz="4" w:space="0" w:color="auto"/>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2,49</w:t>
            </w:r>
          </w:p>
        </w:tc>
        <w:tc>
          <w:tcPr>
            <w:tcW w:w="907" w:type="pct"/>
            <w:tcBorders>
              <w:top w:val="single" w:sz="4" w:space="0" w:color="auto"/>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2,45</w:t>
            </w:r>
          </w:p>
        </w:tc>
        <w:tc>
          <w:tcPr>
            <w:tcW w:w="907" w:type="pct"/>
            <w:tcBorders>
              <w:top w:val="single" w:sz="4" w:space="0" w:color="auto"/>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2,52</w:t>
            </w:r>
          </w:p>
        </w:tc>
        <w:tc>
          <w:tcPr>
            <w:tcW w:w="527" w:type="pct"/>
            <w:tcBorders>
              <w:top w:val="single" w:sz="4" w:space="0" w:color="auto"/>
            </w:tcBorders>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2,3–2,7</w:t>
            </w:r>
          </w:p>
        </w:tc>
      </w:tr>
      <w:tr w:rsidR="001F5FA8" w:rsidRPr="00D6441B" w:rsidTr="008D1314">
        <w:trPr>
          <w:trHeight w:val="270"/>
        </w:trPr>
        <w:tc>
          <w:tcPr>
            <w:tcW w:w="1170" w:type="pct"/>
            <w:vAlign w:val="center"/>
          </w:tcPr>
          <w:p w:rsidR="00990AB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 xml:space="preserve">Alüminyum Modülü </w:t>
            </w:r>
          </w:p>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(T.M)</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1,35</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1,33</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1,34</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1,37</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1,3–1,6</w:t>
            </w: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Hidrolik Modül (H.M.)</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2,23</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2,26</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2,26</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2,26</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Serbest Kireç</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1,86</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1,60</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1,76</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1,78</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Maks. 2</w:t>
            </w: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Dansite (g/l)</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1284</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1244</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1249</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1290</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1200–1300</w:t>
            </w:r>
          </w:p>
        </w:tc>
      </w:tr>
      <w:tr w:rsidR="001F5FA8" w:rsidRPr="00D6441B" w:rsidTr="008D1314">
        <w:trPr>
          <w:trHeight w:val="270"/>
        </w:trPr>
        <w:tc>
          <w:tcPr>
            <w:tcW w:w="1170" w:type="pct"/>
            <w:vAlign w:val="center"/>
          </w:tcPr>
          <w:p w:rsidR="001F5FA8" w:rsidRPr="00D6441B" w:rsidRDefault="001F5FA8" w:rsidP="008D1314">
            <w:pPr>
              <w:spacing w:after="0" w:line="240" w:lineRule="auto"/>
              <w:jc w:val="both"/>
              <w:rPr>
                <w:rFonts w:ascii="Times New Roman" w:eastAsia="Calibri" w:hAnsi="Times New Roman"/>
                <w:bCs/>
                <w:sz w:val="24"/>
                <w:szCs w:val="24"/>
              </w:rPr>
            </w:pPr>
            <w:r w:rsidRPr="00D6441B">
              <w:rPr>
                <w:rFonts w:ascii="Times New Roman" w:eastAsia="Calibri" w:hAnsi="Times New Roman"/>
                <w:bCs/>
                <w:sz w:val="24"/>
                <w:szCs w:val="24"/>
              </w:rPr>
              <w:t xml:space="preserve">Likit Faz (%) </w:t>
            </w:r>
          </w:p>
        </w:tc>
        <w:tc>
          <w:tcPr>
            <w:tcW w:w="58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26,00</w:t>
            </w:r>
          </w:p>
        </w:tc>
        <w:tc>
          <w:tcPr>
            <w:tcW w:w="902"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26,06</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26,49</w:t>
            </w:r>
          </w:p>
        </w:tc>
        <w:tc>
          <w:tcPr>
            <w:tcW w:w="90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25,90</w:t>
            </w:r>
          </w:p>
        </w:tc>
        <w:tc>
          <w:tcPr>
            <w:tcW w:w="527" w:type="pct"/>
            <w:vAlign w:val="center"/>
          </w:tcPr>
          <w:p w:rsidR="001F5FA8" w:rsidRPr="00D6441B" w:rsidRDefault="001F5FA8" w:rsidP="008D1314">
            <w:pPr>
              <w:spacing w:after="0" w:line="240" w:lineRule="auto"/>
              <w:jc w:val="both"/>
              <w:rPr>
                <w:rFonts w:ascii="Times New Roman" w:eastAsia="Calibri" w:hAnsi="Times New Roman"/>
                <w:sz w:val="24"/>
                <w:szCs w:val="24"/>
              </w:rPr>
            </w:pPr>
            <w:r w:rsidRPr="00D6441B">
              <w:rPr>
                <w:rFonts w:ascii="Times New Roman" w:eastAsia="Calibri" w:hAnsi="Times New Roman"/>
                <w:sz w:val="24"/>
                <w:szCs w:val="24"/>
              </w:rPr>
              <w:t>25–27</w:t>
            </w:r>
          </w:p>
        </w:tc>
      </w:tr>
    </w:tbl>
    <w:p w:rsidR="00CC43FF" w:rsidRDefault="00CC43FF" w:rsidP="001F5FA8">
      <w:pPr>
        <w:spacing w:before="120" w:after="120" w:line="240" w:lineRule="auto"/>
        <w:jc w:val="both"/>
        <w:rPr>
          <w:rFonts w:ascii="Times New Roman" w:hAnsi="Times New Roman"/>
          <w:sz w:val="24"/>
          <w:szCs w:val="24"/>
        </w:rPr>
        <w:sectPr w:rsidR="00CC43FF" w:rsidSect="00E230BE">
          <w:type w:val="continuous"/>
          <w:pgSz w:w="11906" w:h="16838"/>
          <w:pgMar w:top="1417" w:right="849" w:bottom="1417" w:left="1134" w:header="708" w:footer="340" w:gutter="0"/>
          <w:cols w:space="708"/>
          <w:docGrid w:linePitch="360"/>
        </w:sectPr>
      </w:pPr>
    </w:p>
    <w:p w:rsidR="001F5FA8"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b/>
          <w:sz w:val="24"/>
          <w:szCs w:val="24"/>
        </w:rPr>
        <w:t>Tablo 5.</w:t>
      </w:r>
      <w:r w:rsidRPr="00D6441B">
        <w:rPr>
          <w:rFonts w:ascii="Times New Roman" w:hAnsi="Times New Roman"/>
          <w:sz w:val="24"/>
          <w:szCs w:val="24"/>
        </w:rPr>
        <w:t xml:space="preserve"> Emisyon Ölçüm Sonuçları ve C Sınır Değerlerle Karşılaştırılması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203"/>
        <w:gridCol w:w="1203"/>
        <w:gridCol w:w="1116"/>
        <w:gridCol w:w="1203"/>
        <w:gridCol w:w="1116"/>
        <w:gridCol w:w="1203"/>
        <w:gridCol w:w="1116"/>
      </w:tblGrid>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eastAsia="Calibri" w:hAnsi="Times New Roman"/>
                <w:b/>
                <w:bCs/>
                <w:sz w:val="24"/>
                <w:szCs w:val="24"/>
              </w:rPr>
            </w:pPr>
            <w:r w:rsidRPr="00D6441B">
              <w:rPr>
                <w:rFonts w:ascii="Times New Roman" w:eastAsia="Calibri" w:hAnsi="Times New Roman"/>
                <w:b/>
                <w:bCs/>
                <w:sz w:val="24"/>
                <w:szCs w:val="24"/>
              </w:rPr>
              <w:t>Değişik RDF Oranı Kullanıldığında Baca Gazında Yanma Gazları, Toz, TOC ve Halojenlerin Ortalama Ölçüm Sonuçları</w:t>
            </w:r>
          </w:p>
        </w:tc>
        <w:tc>
          <w:tcPr>
            <w:tcW w:w="582" w:type="pct"/>
            <w:vAlign w:val="center"/>
          </w:tcPr>
          <w:p w:rsidR="001F5FA8" w:rsidRPr="00D6441B" w:rsidRDefault="001F5FA8" w:rsidP="008D1314">
            <w:pPr>
              <w:spacing w:after="0" w:line="240" w:lineRule="auto"/>
              <w:jc w:val="both"/>
              <w:rPr>
                <w:rFonts w:ascii="Times New Roman" w:eastAsia="Calibri" w:hAnsi="Times New Roman"/>
                <w:b/>
                <w:bCs/>
                <w:sz w:val="24"/>
                <w:szCs w:val="24"/>
              </w:rPr>
            </w:pPr>
            <w:r w:rsidRPr="00D6441B">
              <w:rPr>
                <w:rFonts w:ascii="Times New Roman" w:eastAsia="Calibri" w:hAnsi="Times New Roman"/>
                <w:b/>
                <w:bCs/>
                <w:sz w:val="24"/>
                <w:szCs w:val="24"/>
              </w:rPr>
              <w:t>% 0 RDF + % 100 Petrokok Deneyi</w:t>
            </w:r>
          </w:p>
          <w:p w:rsidR="001F5FA8" w:rsidRPr="00D6441B" w:rsidRDefault="001F5FA8" w:rsidP="008D1314">
            <w:pPr>
              <w:spacing w:after="0" w:line="240" w:lineRule="auto"/>
              <w:jc w:val="both"/>
              <w:rPr>
                <w:rFonts w:ascii="Times New Roman" w:eastAsia="Calibri" w:hAnsi="Times New Roman"/>
                <w:b/>
                <w:bCs/>
                <w:sz w:val="24"/>
                <w:szCs w:val="24"/>
              </w:rPr>
            </w:pPr>
          </w:p>
        </w:tc>
        <w:tc>
          <w:tcPr>
            <w:tcW w:w="894" w:type="pct"/>
            <w:gridSpan w:val="2"/>
            <w:vAlign w:val="center"/>
          </w:tcPr>
          <w:p w:rsidR="001F5FA8" w:rsidRPr="00D6441B" w:rsidRDefault="001F5FA8" w:rsidP="008D1314">
            <w:pPr>
              <w:spacing w:after="0" w:line="240" w:lineRule="auto"/>
              <w:jc w:val="both"/>
              <w:rPr>
                <w:rFonts w:ascii="Times New Roman" w:eastAsia="Calibri" w:hAnsi="Times New Roman"/>
                <w:b/>
                <w:bCs/>
                <w:sz w:val="24"/>
                <w:szCs w:val="24"/>
              </w:rPr>
            </w:pPr>
            <w:r w:rsidRPr="00D6441B">
              <w:rPr>
                <w:rFonts w:ascii="Times New Roman" w:eastAsia="Calibri" w:hAnsi="Times New Roman"/>
                <w:b/>
                <w:bCs/>
                <w:sz w:val="24"/>
                <w:szCs w:val="24"/>
              </w:rPr>
              <w:t>% 8 RDF + % 92 Petrokok Deneyi</w:t>
            </w:r>
          </w:p>
          <w:p w:rsidR="001F5FA8" w:rsidRPr="00D6441B" w:rsidRDefault="001F5FA8" w:rsidP="008D1314">
            <w:pPr>
              <w:spacing w:after="0" w:line="240" w:lineRule="auto"/>
              <w:jc w:val="both"/>
              <w:rPr>
                <w:rFonts w:ascii="Times New Roman" w:eastAsia="Calibri" w:hAnsi="Times New Roman"/>
                <w:b/>
                <w:bCs/>
                <w:sz w:val="24"/>
                <w:szCs w:val="24"/>
              </w:rPr>
            </w:pPr>
          </w:p>
        </w:tc>
        <w:tc>
          <w:tcPr>
            <w:tcW w:w="900" w:type="pct"/>
            <w:gridSpan w:val="2"/>
            <w:vAlign w:val="center"/>
          </w:tcPr>
          <w:p w:rsidR="001F5FA8" w:rsidRPr="00D6441B" w:rsidRDefault="001F5FA8" w:rsidP="008D1314">
            <w:pPr>
              <w:spacing w:after="0" w:line="240" w:lineRule="auto"/>
              <w:jc w:val="both"/>
              <w:rPr>
                <w:rFonts w:ascii="Times New Roman" w:eastAsia="Calibri" w:hAnsi="Times New Roman"/>
                <w:b/>
                <w:bCs/>
                <w:sz w:val="24"/>
                <w:szCs w:val="24"/>
              </w:rPr>
            </w:pPr>
            <w:r w:rsidRPr="00D6441B">
              <w:rPr>
                <w:rFonts w:ascii="Times New Roman" w:eastAsia="Calibri" w:hAnsi="Times New Roman"/>
                <w:b/>
                <w:bCs/>
                <w:sz w:val="24"/>
                <w:szCs w:val="24"/>
              </w:rPr>
              <w:t>% 12 RDF + % 88 Petrokok Deneyi</w:t>
            </w:r>
          </w:p>
          <w:p w:rsidR="001F5FA8" w:rsidRPr="00D6441B" w:rsidRDefault="001F5FA8" w:rsidP="008D1314">
            <w:pPr>
              <w:spacing w:after="0" w:line="240" w:lineRule="auto"/>
              <w:jc w:val="both"/>
              <w:rPr>
                <w:rFonts w:ascii="Times New Roman" w:eastAsia="Calibri" w:hAnsi="Times New Roman"/>
                <w:b/>
                <w:bCs/>
                <w:sz w:val="24"/>
                <w:szCs w:val="24"/>
              </w:rPr>
            </w:pPr>
          </w:p>
        </w:tc>
        <w:tc>
          <w:tcPr>
            <w:tcW w:w="899" w:type="pct"/>
            <w:gridSpan w:val="2"/>
            <w:vAlign w:val="center"/>
          </w:tcPr>
          <w:p w:rsidR="001F5FA8" w:rsidRPr="00D6441B" w:rsidRDefault="001F5FA8" w:rsidP="008D1314">
            <w:pPr>
              <w:spacing w:after="0" w:line="240" w:lineRule="auto"/>
              <w:jc w:val="both"/>
              <w:rPr>
                <w:rFonts w:ascii="Times New Roman" w:eastAsia="Calibri" w:hAnsi="Times New Roman"/>
                <w:b/>
                <w:bCs/>
                <w:sz w:val="24"/>
                <w:szCs w:val="24"/>
              </w:rPr>
            </w:pPr>
            <w:r w:rsidRPr="00D6441B">
              <w:rPr>
                <w:rFonts w:ascii="Times New Roman" w:eastAsia="Calibri" w:hAnsi="Times New Roman"/>
                <w:b/>
                <w:bCs/>
                <w:sz w:val="24"/>
                <w:szCs w:val="24"/>
              </w:rPr>
              <w:t>% 15 RDF + % 85 Petrokok Deneyi</w:t>
            </w:r>
          </w:p>
          <w:p w:rsidR="001F5FA8" w:rsidRPr="00D6441B" w:rsidRDefault="001F5FA8" w:rsidP="008D1314">
            <w:pPr>
              <w:spacing w:after="0" w:line="240" w:lineRule="auto"/>
              <w:jc w:val="both"/>
              <w:rPr>
                <w:rFonts w:ascii="Times New Roman" w:eastAsia="Calibri" w:hAnsi="Times New Roman"/>
                <w:b/>
                <w:bCs/>
                <w:sz w:val="24"/>
                <w:szCs w:val="24"/>
              </w:rPr>
            </w:pPr>
          </w:p>
        </w:tc>
      </w:tr>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
                <w:sz w:val="24"/>
                <w:szCs w:val="24"/>
              </w:rPr>
              <w:t>Parametre</w:t>
            </w:r>
          </w:p>
        </w:tc>
        <w:tc>
          <w:tcPr>
            <w:tcW w:w="582" w:type="pct"/>
            <w:vAlign w:val="center"/>
          </w:tcPr>
          <w:p w:rsidR="001F5FA8" w:rsidRPr="00D6441B" w:rsidRDefault="001F5FA8" w:rsidP="008D1314">
            <w:pPr>
              <w:spacing w:after="0" w:line="240" w:lineRule="auto"/>
              <w:jc w:val="both"/>
              <w:rPr>
                <w:rFonts w:ascii="Times New Roman" w:eastAsia="Calibri" w:hAnsi="Times New Roman"/>
                <w:bCs/>
                <w:sz w:val="24"/>
                <w:szCs w:val="24"/>
              </w:rPr>
            </w:pPr>
            <w:r w:rsidRPr="00D6441B">
              <w:rPr>
                <w:rFonts w:ascii="Times New Roman" w:eastAsia="Calibri" w:hAnsi="Times New Roman"/>
                <w:b/>
                <w:bCs/>
                <w:sz w:val="24"/>
                <w:szCs w:val="24"/>
              </w:rPr>
              <w:t>Ölçüm Sonuçları</w:t>
            </w:r>
          </w:p>
        </w:tc>
        <w:tc>
          <w:tcPr>
            <w:tcW w:w="464" w:type="pct"/>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Ölçüm Sonuçları</w:t>
            </w:r>
          </w:p>
        </w:tc>
        <w:tc>
          <w:tcPr>
            <w:tcW w:w="430" w:type="pct"/>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C Sınır Değeri</w:t>
            </w:r>
          </w:p>
        </w:tc>
        <w:tc>
          <w:tcPr>
            <w:tcW w:w="469" w:type="pct"/>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Ölçüm Sonuçları</w:t>
            </w:r>
          </w:p>
        </w:tc>
        <w:tc>
          <w:tcPr>
            <w:tcW w:w="431" w:type="pct"/>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C Sınır Değeri</w:t>
            </w:r>
          </w:p>
        </w:tc>
        <w:tc>
          <w:tcPr>
            <w:tcW w:w="469" w:type="pct"/>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Ölçüm Sonuçları</w:t>
            </w:r>
          </w:p>
        </w:tc>
        <w:tc>
          <w:tcPr>
            <w:tcW w:w="430" w:type="pct"/>
            <w:vAlign w:val="center"/>
          </w:tcPr>
          <w:p w:rsidR="001F5FA8" w:rsidRPr="00D6441B" w:rsidRDefault="001F5FA8" w:rsidP="008D1314">
            <w:pPr>
              <w:spacing w:after="0" w:line="240" w:lineRule="auto"/>
              <w:jc w:val="both"/>
              <w:rPr>
                <w:rFonts w:ascii="Times New Roman" w:hAnsi="Times New Roman"/>
                <w:b/>
                <w:bCs/>
                <w:sz w:val="24"/>
                <w:szCs w:val="24"/>
              </w:rPr>
            </w:pPr>
            <w:r w:rsidRPr="00D6441B">
              <w:rPr>
                <w:rFonts w:ascii="Times New Roman" w:hAnsi="Times New Roman"/>
                <w:b/>
                <w:bCs/>
                <w:sz w:val="24"/>
                <w:szCs w:val="24"/>
              </w:rPr>
              <w:t>C Sınır Değeri</w:t>
            </w:r>
          </w:p>
        </w:tc>
      </w:tr>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CO</w:t>
            </w:r>
            <w:r w:rsidRPr="00D6441B">
              <w:rPr>
                <w:rFonts w:ascii="Times New Roman" w:hAnsi="Times New Roman"/>
                <w:sz w:val="24"/>
                <w:szCs w:val="24"/>
                <w:vertAlign w:val="subscript"/>
              </w:rPr>
              <w:t>2</w:t>
            </w:r>
            <w:r w:rsidRPr="00D6441B">
              <w:rPr>
                <w:rFonts w:ascii="Times New Roman" w:hAnsi="Times New Roman"/>
                <w:sz w:val="24"/>
                <w:szCs w:val="24"/>
              </w:rPr>
              <w:t>, %</w:t>
            </w:r>
          </w:p>
        </w:tc>
        <w:tc>
          <w:tcPr>
            <w:tcW w:w="582" w:type="pct"/>
            <w:vAlign w:val="center"/>
          </w:tcPr>
          <w:p w:rsidR="001F5FA8" w:rsidRPr="00D6441B" w:rsidRDefault="001F5FA8" w:rsidP="008D1314">
            <w:pPr>
              <w:spacing w:after="0" w:line="240" w:lineRule="auto"/>
              <w:jc w:val="both"/>
              <w:rPr>
                <w:rFonts w:ascii="Times New Roman" w:hAnsi="Times New Roman"/>
                <w:sz w:val="24"/>
                <w:szCs w:val="24"/>
                <w:lang w:val="en-GB"/>
              </w:rPr>
            </w:pPr>
            <w:r w:rsidRPr="00D6441B">
              <w:rPr>
                <w:rFonts w:ascii="Times New Roman" w:hAnsi="Times New Roman"/>
                <w:sz w:val="24"/>
                <w:szCs w:val="24"/>
                <w:lang w:val="en-GB"/>
              </w:rPr>
              <w:t>7,7</w:t>
            </w:r>
          </w:p>
        </w:tc>
        <w:tc>
          <w:tcPr>
            <w:tcW w:w="46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9,3</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11,7</w:t>
            </w:r>
          </w:p>
        </w:tc>
        <w:tc>
          <w:tcPr>
            <w:tcW w:w="431" w:type="pct"/>
            <w:vAlign w:val="center"/>
          </w:tcPr>
          <w:p w:rsidR="001F5FA8" w:rsidRPr="00D6441B" w:rsidRDefault="001F5FA8" w:rsidP="008D1314">
            <w:pPr>
              <w:spacing w:after="0" w:line="240" w:lineRule="auto"/>
              <w:jc w:val="both"/>
              <w:rPr>
                <w:rFonts w:ascii="Times New Roman" w:hAnsi="Times New Roman"/>
                <w:sz w:val="24"/>
                <w:szCs w:val="24"/>
              </w:rPr>
            </w:pP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8,2</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p>
        </w:tc>
      </w:tr>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CO, mg/Nm</w:t>
            </w:r>
            <w:r w:rsidRPr="00D6441B">
              <w:rPr>
                <w:rFonts w:ascii="Times New Roman" w:hAnsi="Times New Roman"/>
                <w:sz w:val="24"/>
                <w:szCs w:val="24"/>
                <w:vertAlign w:val="superscript"/>
              </w:rPr>
              <w:t>3</w:t>
            </w:r>
          </w:p>
        </w:tc>
        <w:tc>
          <w:tcPr>
            <w:tcW w:w="582" w:type="pct"/>
            <w:vAlign w:val="center"/>
          </w:tcPr>
          <w:p w:rsidR="001F5FA8" w:rsidRPr="00D6441B" w:rsidRDefault="001F5FA8" w:rsidP="008D1314">
            <w:pPr>
              <w:spacing w:after="0" w:line="240" w:lineRule="auto"/>
              <w:jc w:val="both"/>
              <w:rPr>
                <w:rFonts w:ascii="Times New Roman" w:hAnsi="Times New Roman"/>
                <w:sz w:val="24"/>
                <w:szCs w:val="24"/>
                <w:lang w:val="en-GB"/>
              </w:rPr>
            </w:pPr>
            <w:r w:rsidRPr="00D6441B">
              <w:rPr>
                <w:rFonts w:ascii="Times New Roman" w:hAnsi="Times New Roman"/>
                <w:sz w:val="24"/>
                <w:szCs w:val="24"/>
                <w:lang w:val="en-GB"/>
              </w:rPr>
              <w:t>122,7</w:t>
            </w:r>
          </w:p>
        </w:tc>
        <w:tc>
          <w:tcPr>
            <w:tcW w:w="46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900,2</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2268</w:t>
            </w:r>
          </w:p>
        </w:tc>
        <w:tc>
          <w:tcPr>
            <w:tcW w:w="431" w:type="pct"/>
            <w:vAlign w:val="center"/>
          </w:tcPr>
          <w:p w:rsidR="001F5FA8" w:rsidRPr="00D6441B" w:rsidRDefault="001F5FA8" w:rsidP="008D1314">
            <w:pPr>
              <w:spacing w:after="0" w:line="240" w:lineRule="auto"/>
              <w:jc w:val="both"/>
              <w:rPr>
                <w:rFonts w:ascii="Times New Roman" w:hAnsi="Times New Roman"/>
                <w:sz w:val="24"/>
                <w:szCs w:val="24"/>
              </w:rPr>
            </w:pP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2503</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p>
        </w:tc>
      </w:tr>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sz w:val="24"/>
                <w:szCs w:val="24"/>
              </w:rPr>
              <w:t>SO</w:t>
            </w:r>
            <w:r w:rsidRPr="00D6441B">
              <w:rPr>
                <w:rFonts w:ascii="Times New Roman" w:hAnsi="Times New Roman"/>
                <w:sz w:val="24"/>
                <w:szCs w:val="24"/>
                <w:vertAlign w:val="subscript"/>
              </w:rPr>
              <w:t>2</w:t>
            </w:r>
            <w:r w:rsidRPr="00D6441B">
              <w:rPr>
                <w:rFonts w:ascii="Times New Roman" w:hAnsi="Times New Roman"/>
                <w:sz w:val="24"/>
                <w:szCs w:val="24"/>
              </w:rPr>
              <w:t>, mg/Nm</w:t>
            </w:r>
            <w:r w:rsidRPr="00D6441B">
              <w:rPr>
                <w:rFonts w:ascii="Times New Roman" w:hAnsi="Times New Roman"/>
                <w:sz w:val="24"/>
                <w:szCs w:val="24"/>
                <w:vertAlign w:val="superscript"/>
              </w:rPr>
              <w:t>3</w:t>
            </w:r>
          </w:p>
        </w:tc>
        <w:tc>
          <w:tcPr>
            <w:tcW w:w="582" w:type="pct"/>
            <w:vAlign w:val="center"/>
          </w:tcPr>
          <w:p w:rsidR="001F5FA8" w:rsidRPr="00D6441B" w:rsidRDefault="001F5FA8" w:rsidP="008D1314">
            <w:pPr>
              <w:spacing w:after="0" w:line="240" w:lineRule="auto"/>
              <w:jc w:val="both"/>
              <w:rPr>
                <w:rFonts w:ascii="Times New Roman" w:hAnsi="Times New Roman"/>
                <w:sz w:val="24"/>
                <w:szCs w:val="24"/>
                <w:lang w:val="en-GB"/>
              </w:rPr>
            </w:pPr>
            <w:r w:rsidRPr="00D6441B">
              <w:rPr>
                <w:rFonts w:ascii="Times New Roman" w:hAnsi="Times New Roman"/>
                <w:sz w:val="24"/>
                <w:szCs w:val="24"/>
                <w:lang w:val="en-GB"/>
              </w:rPr>
              <w:t>14,27</w:t>
            </w:r>
          </w:p>
        </w:tc>
        <w:tc>
          <w:tcPr>
            <w:tcW w:w="46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&lt; 0,286</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295,844</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&lt; 0,286</w:t>
            </w:r>
          </w:p>
        </w:tc>
        <w:tc>
          <w:tcPr>
            <w:tcW w:w="43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293,511</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&lt; 0,286</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292,019</w:t>
            </w:r>
          </w:p>
        </w:tc>
      </w:tr>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sz w:val="24"/>
                <w:szCs w:val="24"/>
              </w:rPr>
              <w:t>NO, mg/Nm</w:t>
            </w:r>
            <w:r w:rsidRPr="00D6441B">
              <w:rPr>
                <w:rFonts w:ascii="Times New Roman" w:hAnsi="Times New Roman"/>
                <w:sz w:val="24"/>
                <w:szCs w:val="24"/>
                <w:vertAlign w:val="superscript"/>
              </w:rPr>
              <w:t>3</w:t>
            </w:r>
          </w:p>
        </w:tc>
        <w:tc>
          <w:tcPr>
            <w:tcW w:w="582" w:type="pct"/>
            <w:vAlign w:val="center"/>
          </w:tcPr>
          <w:p w:rsidR="001F5FA8" w:rsidRPr="00D6441B" w:rsidRDefault="001F5FA8" w:rsidP="008D1314">
            <w:pPr>
              <w:spacing w:after="0" w:line="240" w:lineRule="auto"/>
              <w:jc w:val="both"/>
              <w:rPr>
                <w:rFonts w:ascii="Times New Roman" w:hAnsi="Times New Roman"/>
                <w:sz w:val="24"/>
                <w:szCs w:val="24"/>
                <w:lang w:val="en-GB"/>
              </w:rPr>
            </w:pPr>
            <w:r w:rsidRPr="00D6441B">
              <w:rPr>
                <w:rFonts w:ascii="Times New Roman" w:hAnsi="Times New Roman"/>
                <w:sz w:val="24"/>
                <w:szCs w:val="24"/>
                <w:lang w:val="en-GB"/>
              </w:rPr>
              <w:t>1191</w:t>
            </w:r>
          </w:p>
        </w:tc>
        <w:tc>
          <w:tcPr>
            <w:tcW w:w="46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1045</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506</w:t>
            </w:r>
          </w:p>
        </w:tc>
        <w:tc>
          <w:tcPr>
            <w:tcW w:w="431" w:type="pct"/>
            <w:vAlign w:val="center"/>
          </w:tcPr>
          <w:p w:rsidR="001F5FA8" w:rsidRPr="00D6441B" w:rsidRDefault="001F5FA8" w:rsidP="008D1314">
            <w:pPr>
              <w:spacing w:after="0" w:line="240" w:lineRule="auto"/>
              <w:jc w:val="both"/>
              <w:rPr>
                <w:rFonts w:ascii="Times New Roman" w:hAnsi="Times New Roman"/>
                <w:sz w:val="24"/>
                <w:szCs w:val="24"/>
              </w:rPr>
            </w:pP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475,8</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p>
        </w:tc>
      </w:tr>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NO</w:t>
            </w:r>
            <w:r w:rsidRPr="00D6441B">
              <w:rPr>
                <w:rFonts w:ascii="Times New Roman" w:hAnsi="Times New Roman"/>
                <w:sz w:val="24"/>
                <w:szCs w:val="24"/>
                <w:vertAlign w:val="subscript"/>
              </w:rPr>
              <w:t>x</w:t>
            </w:r>
            <w:r w:rsidRPr="00D6441B">
              <w:rPr>
                <w:rFonts w:ascii="Times New Roman" w:hAnsi="Times New Roman"/>
                <w:sz w:val="24"/>
                <w:szCs w:val="24"/>
              </w:rPr>
              <w:t>, mg/Nm</w:t>
            </w:r>
            <w:r w:rsidRPr="00D6441B">
              <w:rPr>
                <w:rFonts w:ascii="Times New Roman" w:hAnsi="Times New Roman"/>
                <w:sz w:val="24"/>
                <w:szCs w:val="24"/>
                <w:vertAlign w:val="superscript"/>
              </w:rPr>
              <w:t>3</w:t>
            </w:r>
            <w:r w:rsidRPr="00D6441B">
              <w:rPr>
                <w:rFonts w:ascii="Times New Roman" w:hAnsi="Times New Roman"/>
                <w:sz w:val="24"/>
                <w:szCs w:val="24"/>
              </w:rPr>
              <w:t>, NO</w:t>
            </w:r>
            <w:r w:rsidRPr="00D6441B">
              <w:rPr>
                <w:rFonts w:ascii="Times New Roman" w:hAnsi="Times New Roman"/>
                <w:sz w:val="24"/>
                <w:szCs w:val="24"/>
                <w:vertAlign w:val="subscript"/>
              </w:rPr>
              <w:t>2</w:t>
            </w:r>
          </w:p>
        </w:tc>
        <w:tc>
          <w:tcPr>
            <w:tcW w:w="582" w:type="pct"/>
            <w:vAlign w:val="center"/>
          </w:tcPr>
          <w:p w:rsidR="001F5FA8" w:rsidRPr="00D6441B" w:rsidRDefault="001F5FA8" w:rsidP="008D1314">
            <w:pPr>
              <w:spacing w:after="0" w:line="240" w:lineRule="auto"/>
              <w:jc w:val="both"/>
              <w:rPr>
                <w:rFonts w:ascii="Times New Roman" w:hAnsi="Times New Roman"/>
                <w:sz w:val="24"/>
                <w:szCs w:val="24"/>
                <w:lang w:val="en-GB"/>
              </w:rPr>
            </w:pPr>
            <w:r w:rsidRPr="00D6441B">
              <w:rPr>
                <w:rFonts w:ascii="Times New Roman" w:hAnsi="Times New Roman"/>
                <w:sz w:val="24"/>
                <w:szCs w:val="24"/>
                <w:lang w:val="en-GB"/>
              </w:rPr>
              <w:t>1880</w:t>
            </w:r>
          </w:p>
        </w:tc>
        <w:tc>
          <w:tcPr>
            <w:tcW w:w="46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1639</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1262,592</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785</w:t>
            </w:r>
          </w:p>
        </w:tc>
        <w:tc>
          <w:tcPr>
            <w:tcW w:w="43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1241,633</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733,2</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1228,169</w:t>
            </w:r>
          </w:p>
        </w:tc>
      </w:tr>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sz w:val="24"/>
                <w:szCs w:val="24"/>
              </w:rPr>
              <w:t>Toz, mg/Nm</w:t>
            </w:r>
            <w:r w:rsidRPr="00D6441B">
              <w:rPr>
                <w:rFonts w:ascii="Times New Roman" w:hAnsi="Times New Roman"/>
                <w:sz w:val="24"/>
                <w:szCs w:val="24"/>
                <w:vertAlign w:val="superscript"/>
              </w:rPr>
              <w:t>3</w:t>
            </w:r>
          </w:p>
        </w:tc>
        <w:tc>
          <w:tcPr>
            <w:tcW w:w="582" w:type="pct"/>
            <w:vAlign w:val="center"/>
          </w:tcPr>
          <w:p w:rsidR="001F5FA8" w:rsidRPr="00D6441B" w:rsidRDefault="001F5FA8" w:rsidP="008D1314">
            <w:pPr>
              <w:spacing w:after="0" w:line="240" w:lineRule="auto"/>
              <w:jc w:val="both"/>
              <w:rPr>
                <w:rFonts w:ascii="Times New Roman" w:hAnsi="Times New Roman"/>
                <w:sz w:val="24"/>
                <w:szCs w:val="24"/>
                <w:lang w:val="en-GB"/>
              </w:rPr>
            </w:pPr>
            <w:r w:rsidRPr="00D6441B">
              <w:rPr>
                <w:rFonts w:ascii="Times New Roman" w:hAnsi="Times New Roman"/>
                <w:sz w:val="24"/>
                <w:szCs w:val="24"/>
                <w:lang w:val="en-GB"/>
              </w:rPr>
              <w:t>14,37</w:t>
            </w:r>
          </w:p>
        </w:tc>
        <w:tc>
          <w:tcPr>
            <w:tcW w:w="46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20,3</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116,259</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12,20</w:t>
            </w:r>
          </w:p>
        </w:tc>
        <w:tc>
          <w:tcPr>
            <w:tcW w:w="43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114,160</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22,47</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112,817</w:t>
            </w:r>
          </w:p>
        </w:tc>
      </w:tr>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sz w:val="24"/>
                <w:szCs w:val="24"/>
              </w:rPr>
              <w:t>HCl, mg/Nm</w:t>
            </w:r>
            <w:r w:rsidRPr="00D6441B">
              <w:rPr>
                <w:rFonts w:ascii="Times New Roman" w:hAnsi="Times New Roman"/>
                <w:sz w:val="24"/>
                <w:szCs w:val="24"/>
                <w:vertAlign w:val="superscript"/>
              </w:rPr>
              <w:t>3</w:t>
            </w:r>
          </w:p>
        </w:tc>
        <w:tc>
          <w:tcPr>
            <w:tcW w:w="582" w:type="pct"/>
            <w:vAlign w:val="center"/>
          </w:tcPr>
          <w:p w:rsidR="001F5FA8" w:rsidRPr="00D6441B" w:rsidRDefault="001F5FA8" w:rsidP="008D1314">
            <w:pPr>
              <w:spacing w:after="0" w:line="240" w:lineRule="auto"/>
              <w:jc w:val="both"/>
              <w:rPr>
                <w:rFonts w:ascii="Times New Roman" w:hAnsi="Times New Roman"/>
                <w:sz w:val="24"/>
                <w:szCs w:val="24"/>
                <w:lang w:val="en-GB"/>
              </w:rPr>
            </w:pPr>
            <w:r w:rsidRPr="00D6441B">
              <w:rPr>
                <w:rFonts w:ascii="Times New Roman" w:hAnsi="Times New Roman"/>
                <w:sz w:val="24"/>
                <w:szCs w:val="24"/>
                <w:lang w:val="en-GB"/>
              </w:rPr>
              <w:t>1,81</w:t>
            </w:r>
          </w:p>
        </w:tc>
        <w:tc>
          <w:tcPr>
            <w:tcW w:w="46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1,21</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31,247</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2,76</w:t>
            </w:r>
          </w:p>
        </w:tc>
        <w:tc>
          <w:tcPr>
            <w:tcW w:w="43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31,947</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1,80</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32,394</w:t>
            </w:r>
          </w:p>
        </w:tc>
      </w:tr>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sz w:val="24"/>
                <w:szCs w:val="24"/>
              </w:rPr>
              <w:t>HF, mg/Nm</w:t>
            </w:r>
            <w:r w:rsidRPr="00D6441B">
              <w:rPr>
                <w:rFonts w:ascii="Times New Roman" w:hAnsi="Times New Roman"/>
                <w:sz w:val="24"/>
                <w:szCs w:val="24"/>
                <w:vertAlign w:val="superscript"/>
              </w:rPr>
              <w:t>3</w:t>
            </w:r>
          </w:p>
        </w:tc>
        <w:tc>
          <w:tcPr>
            <w:tcW w:w="582" w:type="pct"/>
            <w:vAlign w:val="center"/>
          </w:tcPr>
          <w:p w:rsidR="001F5FA8" w:rsidRPr="00D6441B" w:rsidRDefault="001F5FA8" w:rsidP="008D1314">
            <w:pPr>
              <w:spacing w:after="0" w:line="240" w:lineRule="auto"/>
              <w:jc w:val="both"/>
              <w:rPr>
                <w:rFonts w:ascii="Times New Roman" w:hAnsi="Times New Roman"/>
                <w:sz w:val="24"/>
                <w:szCs w:val="24"/>
                <w:lang w:val="en-GB"/>
              </w:rPr>
            </w:pPr>
            <w:r w:rsidRPr="00D6441B">
              <w:rPr>
                <w:rFonts w:ascii="Times New Roman" w:hAnsi="Times New Roman"/>
                <w:sz w:val="24"/>
                <w:szCs w:val="24"/>
                <w:lang w:val="en-GB"/>
              </w:rPr>
              <w:t>0,16</w:t>
            </w:r>
          </w:p>
        </w:tc>
        <w:tc>
          <w:tcPr>
            <w:tcW w:w="46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0,15</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4,958</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0,13</w:t>
            </w:r>
          </w:p>
        </w:tc>
        <w:tc>
          <w:tcPr>
            <w:tcW w:w="43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4,935</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0,13</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4,920</w:t>
            </w:r>
          </w:p>
        </w:tc>
      </w:tr>
      <w:tr w:rsidR="001F5FA8" w:rsidRPr="00D6441B" w:rsidTr="008D1314">
        <w:trPr>
          <w:trHeight w:val="270"/>
        </w:trPr>
        <w:tc>
          <w:tcPr>
            <w:tcW w:w="1724" w:type="pct"/>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sz w:val="24"/>
                <w:szCs w:val="24"/>
              </w:rPr>
              <w:t>Toplam Organik Karbon (TOC), mg/Nm</w:t>
            </w:r>
            <w:r w:rsidRPr="00D6441B">
              <w:rPr>
                <w:rFonts w:ascii="Times New Roman" w:hAnsi="Times New Roman"/>
                <w:sz w:val="24"/>
                <w:szCs w:val="24"/>
                <w:vertAlign w:val="superscript"/>
              </w:rPr>
              <w:t>3</w:t>
            </w:r>
          </w:p>
        </w:tc>
        <w:tc>
          <w:tcPr>
            <w:tcW w:w="582" w:type="pct"/>
            <w:vAlign w:val="center"/>
          </w:tcPr>
          <w:p w:rsidR="001F5FA8" w:rsidRPr="00D6441B" w:rsidRDefault="001F5FA8" w:rsidP="008D1314">
            <w:pPr>
              <w:spacing w:after="0" w:line="240" w:lineRule="auto"/>
              <w:jc w:val="both"/>
              <w:rPr>
                <w:rFonts w:ascii="Times New Roman" w:hAnsi="Times New Roman"/>
                <w:sz w:val="24"/>
                <w:szCs w:val="24"/>
                <w:lang w:val="en-GB"/>
              </w:rPr>
            </w:pPr>
            <w:r w:rsidRPr="00D6441B">
              <w:rPr>
                <w:rFonts w:ascii="Times New Roman" w:hAnsi="Times New Roman"/>
                <w:sz w:val="24"/>
                <w:szCs w:val="24"/>
                <w:lang w:val="en-GB"/>
              </w:rPr>
              <w:t>19,86</w:t>
            </w:r>
          </w:p>
        </w:tc>
        <w:tc>
          <w:tcPr>
            <w:tcW w:w="46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18,33</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288,362</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11,58</w:t>
            </w:r>
          </w:p>
        </w:tc>
        <w:tc>
          <w:tcPr>
            <w:tcW w:w="431"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281,832</w:t>
            </w: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14,62</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277,653</w:t>
            </w:r>
          </w:p>
        </w:tc>
      </w:tr>
      <w:tr w:rsidR="001F5FA8" w:rsidRPr="00D6441B" w:rsidTr="008D1314">
        <w:trPr>
          <w:trHeight w:val="209"/>
        </w:trPr>
        <w:tc>
          <w:tcPr>
            <w:tcW w:w="172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PAH</w:t>
            </w:r>
          </w:p>
        </w:tc>
        <w:tc>
          <w:tcPr>
            <w:tcW w:w="582" w:type="pct"/>
            <w:vAlign w:val="center"/>
          </w:tcPr>
          <w:p w:rsidR="001F5FA8" w:rsidRPr="00D6441B" w:rsidRDefault="001F5FA8" w:rsidP="008D1314">
            <w:pPr>
              <w:spacing w:after="0" w:line="240" w:lineRule="auto"/>
              <w:jc w:val="both"/>
              <w:rPr>
                <w:rFonts w:ascii="Times New Roman" w:hAnsi="Times New Roman"/>
                <w:sz w:val="24"/>
                <w:szCs w:val="24"/>
                <w:lang w:val="en-GB"/>
              </w:rPr>
            </w:pPr>
            <w:r w:rsidRPr="00D6441B">
              <w:rPr>
                <w:rFonts w:ascii="Times New Roman" w:hAnsi="Times New Roman"/>
                <w:sz w:val="24"/>
                <w:szCs w:val="24"/>
                <w:lang w:val="en-GB"/>
              </w:rPr>
              <w:t>6,332</w:t>
            </w:r>
          </w:p>
        </w:tc>
        <w:tc>
          <w:tcPr>
            <w:tcW w:w="464"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3,844</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1,972</w:t>
            </w:r>
          </w:p>
        </w:tc>
        <w:tc>
          <w:tcPr>
            <w:tcW w:w="431" w:type="pct"/>
            <w:vAlign w:val="center"/>
          </w:tcPr>
          <w:p w:rsidR="001F5FA8" w:rsidRPr="00D6441B" w:rsidRDefault="001F5FA8" w:rsidP="008D1314">
            <w:pPr>
              <w:spacing w:after="0" w:line="240" w:lineRule="auto"/>
              <w:jc w:val="both"/>
              <w:rPr>
                <w:rFonts w:ascii="Times New Roman" w:hAnsi="Times New Roman"/>
                <w:sz w:val="24"/>
                <w:szCs w:val="24"/>
              </w:rPr>
            </w:pPr>
          </w:p>
        </w:tc>
        <w:tc>
          <w:tcPr>
            <w:tcW w:w="469" w:type="pct"/>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2,680</w:t>
            </w:r>
          </w:p>
        </w:tc>
        <w:tc>
          <w:tcPr>
            <w:tcW w:w="430" w:type="pct"/>
            <w:vAlign w:val="center"/>
          </w:tcPr>
          <w:p w:rsidR="001F5FA8" w:rsidRPr="00D6441B" w:rsidRDefault="001F5FA8" w:rsidP="008D1314">
            <w:pPr>
              <w:spacing w:after="0" w:line="240" w:lineRule="auto"/>
              <w:jc w:val="both"/>
              <w:rPr>
                <w:rFonts w:ascii="Times New Roman" w:hAnsi="Times New Roman"/>
                <w:sz w:val="24"/>
                <w:szCs w:val="24"/>
              </w:rPr>
            </w:pPr>
          </w:p>
        </w:tc>
      </w:tr>
    </w:tbl>
    <w:p w:rsidR="00CC43FF" w:rsidRDefault="00CC43FF" w:rsidP="001F5FA8">
      <w:pPr>
        <w:spacing w:before="120" w:after="120" w:line="240" w:lineRule="auto"/>
        <w:jc w:val="both"/>
        <w:rPr>
          <w:rFonts w:ascii="Times New Roman" w:hAnsi="Times New Roman"/>
          <w:sz w:val="24"/>
          <w:szCs w:val="24"/>
        </w:rPr>
        <w:sectPr w:rsidR="00CC43FF" w:rsidSect="00CC43FF">
          <w:type w:val="continuous"/>
          <w:pgSz w:w="11906" w:h="16838"/>
          <w:pgMar w:top="1417" w:right="849" w:bottom="1417" w:left="1134" w:header="708" w:footer="708" w:gutter="0"/>
          <w:cols w:space="708"/>
          <w:docGrid w:linePitch="360"/>
        </w:sectPr>
      </w:pPr>
    </w:p>
    <w:p w:rsidR="00CC43FF" w:rsidRDefault="00CC43FF"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Bu </w:t>
      </w:r>
      <w:r w:rsidRPr="00D6441B">
        <w:rPr>
          <w:rFonts w:ascii="Times New Roman" w:hAnsi="Times New Roman"/>
          <w:bCs/>
          <w:sz w:val="24"/>
          <w:szCs w:val="24"/>
        </w:rPr>
        <w:t xml:space="preserve">tebliğin EK-2’sine (Atıkların Beraber Yakılması İçin Hava Emisyon Limit Değerlerinin Saptanması) verilen </w:t>
      </w:r>
      <w:r w:rsidRPr="00D6441B">
        <w:rPr>
          <w:rFonts w:ascii="Times New Roman" w:hAnsi="Times New Roman"/>
          <w:sz w:val="24"/>
          <w:szCs w:val="24"/>
        </w:rPr>
        <w:t>C sınır değerinin hesaplanması için kullanılan formül ve formüldeki parametrelerin açıklamaları aşağıda verilmiştir.</w:t>
      </w:r>
    </w:p>
    <w:p w:rsidR="001F5FA8" w:rsidRPr="00EC400F" w:rsidRDefault="001F5FA8" w:rsidP="001F5FA8">
      <w:pPr>
        <w:spacing w:before="120" w:after="120" w:line="240" w:lineRule="auto"/>
        <w:jc w:val="both"/>
        <w:rPr>
          <w:rFonts w:ascii="Times New Roman" w:hAnsi="Times New Roman"/>
          <w:b/>
          <w:sz w:val="24"/>
          <w:szCs w:val="24"/>
        </w:rPr>
      </w:pPr>
      <w:r>
        <w:rPr>
          <w:rFonts w:ascii="Times New Roman" w:hAnsi="Times New Roman"/>
          <w:b/>
          <w:noProof/>
          <w:sz w:val="24"/>
          <w:szCs w:val="24"/>
          <w:lang w:val="en-AU" w:eastAsia="en-AU"/>
        </w:rPr>
        <w:drawing>
          <wp:inline distT="0" distB="0" distL="0" distR="0">
            <wp:extent cx="2809875" cy="857250"/>
            <wp:effectExtent l="19050" t="19050" r="28575" b="19050"/>
            <wp:docPr id="167"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6" cstate="print"/>
                    <a:srcRect/>
                    <a:stretch>
                      <a:fillRect/>
                    </a:stretch>
                  </pic:blipFill>
                  <pic:spPr bwMode="auto">
                    <a:xfrm>
                      <a:off x="0" y="0"/>
                      <a:ext cx="2809875" cy="857250"/>
                    </a:xfrm>
                    <a:prstGeom prst="rect">
                      <a:avLst/>
                    </a:prstGeom>
                    <a:noFill/>
                    <a:ln w="6350" cmpd="sng">
                      <a:solidFill>
                        <a:srgbClr val="000000"/>
                      </a:solidFill>
                      <a:miter lim="800000"/>
                      <a:headEnd/>
                      <a:tailEnd/>
                    </a:ln>
                    <a:effectLst/>
                  </pic:spPr>
                </pic:pic>
              </a:graphicData>
            </a:graphic>
          </wp:inline>
        </w:drawing>
      </w:r>
    </w:p>
    <w:p w:rsidR="00CC43FF" w:rsidRDefault="00CC43FF" w:rsidP="001F5FA8">
      <w:pPr>
        <w:autoSpaceDE w:val="0"/>
        <w:autoSpaceDN w:val="0"/>
        <w:adjustRightInd w:val="0"/>
        <w:spacing w:before="120" w:after="120" w:line="240" w:lineRule="auto"/>
        <w:jc w:val="both"/>
        <w:rPr>
          <w:rFonts w:ascii="Times New Roman" w:hAnsi="Times New Roman"/>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V</w:t>
      </w:r>
      <w:r w:rsidRPr="00D6441B">
        <w:rPr>
          <w:rFonts w:ascii="Times New Roman" w:hAnsi="Times New Roman"/>
          <w:sz w:val="24"/>
          <w:szCs w:val="24"/>
          <w:vertAlign w:val="subscript"/>
        </w:rPr>
        <w:t>atık</w:t>
      </w:r>
      <w:r w:rsidRPr="00D6441B">
        <w:rPr>
          <w:rFonts w:ascii="Times New Roman" w:hAnsi="Times New Roman"/>
          <w:sz w:val="24"/>
          <w:szCs w:val="24"/>
        </w:rPr>
        <w:t>:</w:t>
      </w:r>
      <w:r w:rsidRPr="00D6441B">
        <w:rPr>
          <w:rFonts w:ascii="Times New Roman" w:hAnsi="Times New Roman"/>
          <w:sz w:val="24"/>
          <w:szCs w:val="24"/>
        </w:rPr>
        <w:tab/>
        <w:t xml:space="preserve">Sadece izinde belirtilen en düşük kalorifik değere sahip atık kullanılarak saptanan ve bu Yönetmelikte verilen koşullarda standart hale getirilen ve atığın yakılmasından kaynaklanan atıkgazın hacmi. </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C</w:t>
      </w:r>
      <w:r w:rsidRPr="00D6441B">
        <w:rPr>
          <w:rFonts w:ascii="Times New Roman" w:hAnsi="Times New Roman"/>
          <w:sz w:val="24"/>
          <w:szCs w:val="24"/>
          <w:vertAlign w:val="subscript"/>
        </w:rPr>
        <w:t>atık</w:t>
      </w:r>
      <w:r w:rsidRPr="00D6441B">
        <w:rPr>
          <w:rFonts w:ascii="Times New Roman" w:hAnsi="Times New Roman"/>
          <w:sz w:val="24"/>
          <w:szCs w:val="24"/>
        </w:rPr>
        <w:t>:</w:t>
      </w:r>
      <w:r w:rsidRPr="00D6441B">
        <w:rPr>
          <w:rFonts w:ascii="Times New Roman" w:hAnsi="Times New Roman"/>
          <w:sz w:val="24"/>
          <w:szCs w:val="24"/>
        </w:rPr>
        <w:tab/>
        <w:t>İlgili kirletici maddelere ve karbon monoksite ilişkin olarak Ek V’teki yakma tesisleri için belirlenen emisyon limit değerleri.</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V</w:t>
      </w:r>
      <w:r w:rsidRPr="00D6441B">
        <w:rPr>
          <w:rFonts w:ascii="Times New Roman" w:hAnsi="Times New Roman"/>
          <w:sz w:val="24"/>
          <w:szCs w:val="24"/>
          <w:vertAlign w:val="subscript"/>
        </w:rPr>
        <w:t>işlem</w:t>
      </w:r>
      <w:r w:rsidRPr="00D6441B">
        <w:rPr>
          <w:rFonts w:ascii="Times New Roman" w:hAnsi="Times New Roman"/>
          <w:sz w:val="24"/>
          <w:szCs w:val="24"/>
        </w:rPr>
        <w:t>:</w:t>
      </w:r>
      <w:r w:rsidRPr="00D6441B">
        <w:rPr>
          <w:rFonts w:ascii="Times New Roman" w:hAnsi="Times New Roman"/>
          <w:sz w:val="24"/>
          <w:szCs w:val="24"/>
        </w:rPr>
        <w:tab/>
        <w:t xml:space="preserve">Tesiste müsaade edilmiş ve normalde kullanılan yakıtların (atıklar hariç) </w:t>
      </w:r>
      <w:r w:rsidRPr="00D6441B">
        <w:rPr>
          <w:rFonts w:ascii="Times New Roman" w:hAnsi="Times New Roman"/>
          <w:sz w:val="24"/>
          <w:szCs w:val="24"/>
        </w:rPr>
        <w:lastRenderedPageBreak/>
        <w:t xml:space="preserve">yanmasından ve tesisin uyguladığı işlemden kaynaklanan ve </w:t>
      </w:r>
      <w:r w:rsidRPr="00D6441B">
        <w:rPr>
          <w:rFonts w:ascii="Times New Roman" w:hAnsi="Times New Roman"/>
          <w:bCs/>
          <w:color w:val="000000"/>
          <w:sz w:val="24"/>
          <w:szCs w:val="24"/>
        </w:rPr>
        <w:t xml:space="preserve">Sanayi Kaynaklı Hava Kirliliğinin Kontrolü Yönetmeliğinde </w:t>
      </w:r>
      <w:r w:rsidRPr="00D6441B">
        <w:rPr>
          <w:rFonts w:ascii="Times New Roman" w:hAnsi="Times New Roman"/>
          <w:sz w:val="24"/>
          <w:szCs w:val="24"/>
        </w:rPr>
        <w:t xml:space="preserve">belirtilen şekilde emisyonu standart hale getirilmiş oksijen içeriğine dayanarak saptanan baca gazı hacmi. </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C</w:t>
      </w:r>
      <w:r w:rsidRPr="00D6441B">
        <w:rPr>
          <w:rFonts w:ascii="Times New Roman" w:hAnsi="Times New Roman"/>
          <w:sz w:val="24"/>
          <w:szCs w:val="24"/>
          <w:vertAlign w:val="subscript"/>
        </w:rPr>
        <w:t>işlem</w:t>
      </w:r>
      <w:r w:rsidRPr="00D6441B">
        <w:rPr>
          <w:rFonts w:ascii="Times New Roman" w:hAnsi="Times New Roman"/>
          <w:sz w:val="24"/>
          <w:szCs w:val="24"/>
        </w:rPr>
        <w:t>:</w:t>
      </w:r>
      <w:r w:rsidRPr="00D6441B">
        <w:rPr>
          <w:rFonts w:ascii="Times New Roman" w:hAnsi="Times New Roman"/>
          <w:sz w:val="24"/>
          <w:szCs w:val="24"/>
        </w:rPr>
        <w:tab/>
        <w:t>Belirli endüstriyel sektörler için bu ekin tablolarında belirtildiği şekilde emisyon limit değerleri ve tabloda bu değerlerin m</w:t>
      </w:r>
      <w:smartTag w:uri="urn:schemas-microsoft-com:office:smarttags" w:element="PersonName">
        <w:r w:rsidRPr="00D6441B">
          <w:rPr>
            <w:rFonts w:ascii="Times New Roman" w:hAnsi="Times New Roman"/>
            <w:sz w:val="24"/>
            <w:szCs w:val="24"/>
          </w:rPr>
          <w:t>ev</w:t>
        </w:r>
      </w:smartTag>
      <w:r w:rsidRPr="00D6441B">
        <w:rPr>
          <w:rFonts w:ascii="Times New Roman" w:hAnsi="Times New Roman"/>
          <w:sz w:val="24"/>
          <w:szCs w:val="24"/>
        </w:rPr>
        <w:t xml:space="preserve">cut olmaması halinde, normalde müsaade edilen yakıtları (atıklar hariç) yakarken </w:t>
      </w:r>
      <w:r w:rsidRPr="00D6441B">
        <w:rPr>
          <w:rFonts w:ascii="Times New Roman" w:hAnsi="Times New Roman"/>
          <w:bCs/>
          <w:color w:val="000000"/>
          <w:sz w:val="24"/>
          <w:szCs w:val="24"/>
        </w:rPr>
        <w:t xml:space="preserve">Sanayi Kaynaklı Hava Kirliliğinin Kontrolü Yönetmeliğine </w:t>
      </w:r>
      <w:r w:rsidRPr="00D6441B">
        <w:rPr>
          <w:rFonts w:ascii="Times New Roman" w:hAnsi="Times New Roman"/>
          <w:sz w:val="24"/>
          <w:szCs w:val="24"/>
        </w:rPr>
        <w:t xml:space="preserve"> uygunluk gösteren tesislerden çıkan baca gazındaki ilgili kirletici maddelerin ve karbon monoksitin emisyon limit değerleri. </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C:</w:t>
      </w:r>
      <w:r w:rsidRPr="00D6441B">
        <w:rPr>
          <w:rFonts w:ascii="Times New Roman" w:hAnsi="Times New Roman"/>
          <w:sz w:val="24"/>
          <w:szCs w:val="24"/>
        </w:rPr>
        <w:tab/>
        <w:t>Belirli endüstriyel sektörler ve kirletici maddeler için bu ekin tablolarında belirtildiği şekilde toplam emisyon limit değerleri ve oksijen içeriği veya  bu değerlerin m</w:t>
      </w:r>
      <w:smartTag w:uri="urn:schemas-microsoft-com:office:smarttags" w:element="PersonName">
        <w:r w:rsidRPr="00D6441B">
          <w:rPr>
            <w:rFonts w:ascii="Times New Roman" w:hAnsi="Times New Roman"/>
            <w:sz w:val="24"/>
            <w:szCs w:val="24"/>
          </w:rPr>
          <w:t>ev</w:t>
        </w:r>
      </w:smartTag>
      <w:r w:rsidRPr="00D6441B">
        <w:rPr>
          <w:rFonts w:ascii="Times New Roman" w:hAnsi="Times New Roman"/>
          <w:sz w:val="24"/>
          <w:szCs w:val="24"/>
        </w:rPr>
        <w:t>cut olmaması halinde, bu Yönetmeliğin  eklerinde belirtilen emisyon limit değerlerinin yerine kullanılacak olan CO ve ilgili kirletici maddeler için toplam emisyon limit değerleri. Oksijen içeriğinin yerine, standart hale getirmek amacıyla kullanılacak toplam oksijen içeriği, kısmi hacimleri de göz önünde tutarak yukarıdaki içeriğe dayanarak hesaplanır.</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outlineLvl w:val="0"/>
        <w:rPr>
          <w:rFonts w:ascii="Times New Roman" w:hAnsi="Times New Roman"/>
          <w:b/>
          <w:sz w:val="24"/>
          <w:szCs w:val="24"/>
        </w:rPr>
      </w:pPr>
      <w:r w:rsidRPr="00D6441B">
        <w:rPr>
          <w:rFonts w:ascii="Times New Roman" w:hAnsi="Times New Roman"/>
          <w:b/>
          <w:sz w:val="24"/>
          <w:szCs w:val="24"/>
        </w:rPr>
        <w:t>3. SONUÇLAR</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lang w:eastAsia="ar-SA"/>
        </w:rPr>
      </w:pPr>
    </w:p>
    <w:p w:rsidR="001F5FA8" w:rsidRPr="00D6441B" w:rsidRDefault="001F5FA8" w:rsidP="001F5FA8">
      <w:pPr>
        <w:numPr>
          <w:ilvl w:val="0"/>
          <w:numId w:val="7"/>
        </w:numPr>
        <w:autoSpaceDE w:val="0"/>
        <w:autoSpaceDN w:val="0"/>
        <w:adjustRightInd w:val="0"/>
        <w:spacing w:before="120" w:after="120" w:line="240" w:lineRule="auto"/>
        <w:ind w:left="0" w:firstLine="0"/>
        <w:jc w:val="both"/>
        <w:rPr>
          <w:rFonts w:ascii="Times New Roman" w:hAnsi="Times New Roman"/>
          <w:sz w:val="24"/>
          <w:szCs w:val="24"/>
          <w:lang w:eastAsia="ar-SA"/>
        </w:rPr>
      </w:pPr>
      <w:r w:rsidRPr="00D6441B">
        <w:rPr>
          <w:rFonts w:ascii="Times New Roman" w:hAnsi="Times New Roman"/>
          <w:sz w:val="24"/>
          <w:szCs w:val="24"/>
          <w:lang w:eastAsia="ar-SA"/>
        </w:rPr>
        <w:t xml:space="preserve">Deneysel çalışmanın birinci aşamasında pilot ölçekli çalışma yapılmış ve burada birincil yakıt olarak kullanılan LPG’ye değişik oranlarda RDF ilave edilmiş, çimento üretim sürecine göre farinden klinker üretimi gerçekleştirilmiştir. Üretilmiş olan klinkerin kimyasal ve minerolojik analiz sonuçları ile modül değerleri sınır değerlerinin içinde olduğu görülmüş ve burada elde edilen teorik ve pratik </w:t>
      </w:r>
      <w:smartTag w:uri="urn:schemas-microsoft-com:office:smarttags" w:element="PersonName">
        <w:r w:rsidRPr="00D6441B">
          <w:rPr>
            <w:rFonts w:ascii="Times New Roman" w:hAnsi="Times New Roman"/>
            <w:sz w:val="24"/>
            <w:szCs w:val="24"/>
            <w:lang w:eastAsia="ar-SA"/>
          </w:rPr>
          <w:t>bilgi</w:t>
        </w:r>
      </w:smartTag>
      <w:r w:rsidRPr="00D6441B">
        <w:rPr>
          <w:rFonts w:ascii="Times New Roman" w:hAnsi="Times New Roman"/>
          <w:sz w:val="24"/>
          <w:szCs w:val="24"/>
          <w:lang w:eastAsia="ar-SA"/>
        </w:rPr>
        <w:t>ler ışığı altında endüstriyel boyutta klinker üretimi çalışmaları organize edilmiştir.</w:t>
      </w:r>
    </w:p>
    <w:p w:rsidR="001F5FA8" w:rsidRPr="00EC400F" w:rsidRDefault="001F5FA8" w:rsidP="001F5FA8">
      <w:pPr>
        <w:numPr>
          <w:ilvl w:val="0"/>
          <w:numId w:val="7"/>
        </w:numPr>
        <w:autoSpaceDE w:val="0"/>
        <w:autoSpaceDN w:val="0"/>
        <w:adjustRightInd w:val="0"/>
        <w:spacing w:before="120" w:after="120" w:line="240" w:lineRule="auto"/>
        <w:ind w:left="0" w:firstLine="0"/>
        <w:jc w:val="both"/>
        <w:rPr>
          <w:rFonts w:ascii="Times New Roman" w:hAnsi="Times New Roman"/>
          <w:sz w:val="24"/>
          <w:szCs w:val="24"/>
          <w:lang w:eastAsia="ar-SA"/>
        </w:rPr>
      </w:pPr>
      <w:r w:rsidRPr="00D6441B">
        <w:rPr>
          <w:rFonts w:ascii="Times New Roman" w:hAnsi="Times New Roman"/>
          <w:bCs/>
          <w:sz w:val="24"/>
          <w:szCs w:val="24"/>
          <w:lang w:eastAsia="ar-SA"/>
        </w:rPr>
        <w:t xml:space="preserve">İkinci aşamada ise endüstriyel boyutta klinker üretim çalışmalarında petrokoka belli oranda RDF ilave edilmiş, klinker üretilerek kimyasal, fiziksel ve mineralojik analizleri yapılmış, oluşan klinkerin performansı gözlenmiştir. Klinker üretimi esnasında baca </w:t>
      </w:r>
      <w:r w:rsidRPr="00D6441B">
        <w:rPr>
          <w:rFonts w:ascii="Times New Roman" w:hAnsi="Times New Roman"/>
          <w:bCs/>
          <w:sz w:val="24"/>
          <w:szCs w:val="24"/>
          <w:lang w:eastAsia="ar-SA"/>
        </w:rPr>
        <w:lastRenderedPageBreak/>
        <w:t>gazı emisyon değerleri ölçülmüş ve tebliğde belirtilen standart değerlerle karşılaştırılmıştır. Yapılan deneysel çalışma sonucunda en uygun RDF besleme oranı % 15 olarak belirlenmiştir.</w:t>
      </w:r>
    </w:p>
    <w:p w:rsidR="001F5FA8" w:rsidRPr="00EC400F" w:rsidRDefault="001F5FA8" w:rsidP="001F5FA8">
      <w:pPr>
        <w:numPr>
          <w:ilvl w:val="0"/>
          <w:numId w:val="7"/>
        </w:numPr>
        <w:autoSpaceDE w:val="0"/>
        <w:autoSpaceDN w:val="0"/>
        <w:adjustRightInd w:val="0"/>
        <w:spacing w:before="120" w:after="120" w:line="240" w:lineRule="auto"/>
        <w:ind w:left="0" w:firstLine="0"/>
        <w:jc w:val="both"/>
        <w:rPr>
          <w:rFonts w:ascii="Times New Roman" w:hAnsi="Times New Roman"/>
          <w:sz w:val="24"/>
          <w:szCs w:val="24"/>
          <w:lang w:eastAsia="ar-SA"/>
        </w:rPr>
      </w:pPr>
      <w:r w:rsidRPr="00D6441B">
        <w:rPr>
          <w:rFonts w:ascii="Times New Roman" w:hAnsi="Times New Roman"/>
          <w:sz w:val="24"/>
          <w:szCs w:val="24"/>
        </w:rPr>
        <w:t>Bu çalışma ile ayırma ünitesinden çıkan ve geri dönüştürülemeyen (m</w:t>
      </w:r>
      <w:smartTag w:uri="urn:schemas-microsoft-com:office:smarttags" w:element="PersonName">
        <w:r w:rsidRPr="00D6441B">
          <w:rPr>
            <w:rFonts w:ascii="Times New Roman" w:hAnsi="Times New Roman"/>
            <w:sz w:val="24"/>
            <w:szCs w:val="24"/>
          </w:rPr>
          <w:t>ev</w:t>
        </w:r>
      </w:smartTag>
      <w:r w:rsidRPr="00D6441B">
        <w:rPr>
          <w:rFonts w:ascii="Times New Roman" w:hAnsi="Times New Roman"/>
          <w:sz w:val="24"/>
          <w:szCs w:val="24"/>
        </w:rPr>
        <w:t>cut sistemde depolama alanlarına gönderilen) atıkların çimento fırınlarında alternatif yakıt olarak kullanılması gerçekleştirilmiştir.</w:t>
      </w:r>
      <w:r w:rsidRPr="00D6441B">
        <w:rPr>
          <w:rFonts w:ascii="Times New Roman" w:hAnsi="Times New Roman"/>
          <w:color w:val="555555"/>
          <w:sz w:val="24"/>
          <w:szCs w:val="24"/>
        </w:rPr>
        <w:t xml:space="preserve"> </w:t>
      </w:r>
      <w:r w:rsidRPr="00D6441B">
        <w:rPr>
          <w:rFonts w:ascii="Times New Roman" w:hAnsi="Times New Roman"/>
          <w:sz w:val="24"/>
          <w:szCs w:val="24"/>
          <w:lang w:eastAsia="ar-SA"/>
        </w:rPr>
        <w:t xml:space="preserve">Dünyanın birçok ülkesinde kullanılmakta olan bu teknoloji, ülkemizde ilk defa bu proje sayesinde kullanılmaya başlanmış, tüm belediyeler ve çimento sektörü için bir model oluşturmuştur. </w:t>
      </w:r>
    </w:p>
    <w:p w:rsidR="001F5FA8" w:rsidRPr="00EC400F" w:rsidRDefault="001F5FA8" w:rsidP="001F5FA8">
      <w:pPr>
        <w:numPr>
          <w:ilvl w:val="0"/>
          <w:numId w:val="7"/>
        </w:numPr>
        <w:autoSpaceDE w:val="0"/>
        <w:autoSpaceDN w:val="0"/>
        <w:adjustRightInd w:val="0"/>
        <w:spacing w:before="120" w:after="120" w:line="240" w:lineRule="auto"/>
        <w:ind w:left="0" w:firstLine="0"/>
        <w:jc w:val="both"/>
        <w:rPr>
          <w:rFonts w:ascii="Times New Roman" w:hAnsi="Times New Roman"/>
          <w:sz w:val="24"/>
          <w:szCs w:val="24"/>
          <w:lang w:eastAsia="ar-SA"/>
        </w:rPr>
      </w:pPr>
      <w:r w:rsidRPr="00D6441B">
        <w:rPr>
          <w:rFonts w:ascii="Times New Roman" w:hAnsi="Times New Roman"/>
          <w:sz w:val="24"/>
          <w:szCs w:val="24"/>
          <w:lang w:eastAsia="ar-SA"/>
        </w:rPr>
        <w:t xml:space="preserve">RDF kullanılarak fosil yakıtların kullanımı azalmış, ekonomiye katma değer sağlanmış ve döviz kaybı azaltılmıştır. Bu proje sonucunda RDF malzemesi halen üretilmekte ve ticari olarak çimento fabrikasına satılmaktadır. Böylece projede öngörülmüş olan hedefe tam anlamıyla ulaşılmıştır. </w:t>
      </w:r>
    </w:p>
    <w:p w:rsidR="001F5FA8" w:rsidRPr="00EC400F" w:rsidRDefault="001F5FA8" w:rsidP="001F5FA8">
      <w:pPr>
        <w:numPr>
          <w:ilvl w:val="0"/>
          <w:numId w:val="7"/>
        </w:numPr>
        <w:autoSpaceDE w:val="0"/>
        <w:autoSpaceDN w:val="0"/>
        <w:adjustRightInd w:val="0"/>
        <w:spacing w:before="120" w:after="120" w:line="240" w:lineRule="auto"/>
        <w:ind w:left="0" w:firstLine="0"/>
        <w:jc w:val="both"/>
        <w:rPr>
          <w:rFonts w:ascii="Times New Roman" w:hAnsi="Times New Roman"/>
          <w:sz w:val="24"/>
          <w:szCs w:val="24"/>
          <w:lang w:eastAsia="ar-SA"/>
        </w:rPr>
      </w:pPr>
      <w:r w:rsidRPr="00D6441B">
        <w:rPr>
          <w:rFonts w:ascii="Times New Roman" w:hAnsi="Times New Roman"/>
          <w:sz w:val="24"/>
          <w:szCs w:val="24"/>
          <w:lang w:eastAsia="ar-SA"/>
        </w:rPr>
        <w:t>Bu proje sayesinde Türkiye’de de RDF üretme ve yakma teknolojisi geliştirilmiştir.</w:t>
      </w:r>
    </w:p>
    <w:p w:rsidR="001F5FA8" w:rsidRPr="00EC400F" w:rsidRDefault="001F5FA8" w:rsidP="001F5FA8">
      <w:pPr>
        <w:numPr>
          <w:ilvl w:val="0"/>
          <w:numId w:val="7"/>
        </w:numPr>
        <w:autoSpaceDE w:val="0"/>
        <w:autoSpaceDN w:val="0"/>
        <w:adjustRightInd w:val="0"/>
        <w:spacing w:before="120" w:after="120" w:line="240" w:lineRule="auto"/>
        <w:ind w:left="0" w:firstLine="0"/>
        <w:jc w:val="both"/>
        <w:rPr>
          <w:rFonts w:ascii="Times New Roman" w:hAnsi="Times New Roman"/>
          <w:sz w:val="24"/>
          <w:szCs w:val="24"/>
          <w:lang w:eastAsia="ar-SA"/>
        </w:rPr>
      </w:pPr>
      <w:r w:rsidRPr="00D6441B">
        <w:rPr>
          <w:rFonts w:ascii="Times New Roman" w:hAnsi="Times New Roman"/>
          <w:bCs/>
          <w:sz w:val="24"/>
          <w:szCs w:val="24"/>
          <w:lang w:eastAsia="ar-SA"/>
        </w:rPr>
        <w:t>Çimento sanayinin, çeşitli atıkları alternatif yakıt olarak kullanarak bir yandan fosil yakıtlardan tasarruf sağlarken bir yandan da atıkların değerlendirilmesi ve ç</w:t>
      </w:r>
      <w:smartTag w:uri="urn:schemas-microsoft-com:office:smarttags" w:element="PersonName">
        <w:r w:rsidRPr="00D6441B">
          <w:rPr>
            <w:rFonts w:ascii="Times New Roman" w:hAnsi="Times New Roman"/>
            <w:bCs/>
            <w:sz w:val="24"/>
            <w:szCs w:val="24"/>
            <w:lang w:eastAsia="ar-SA"/>
          </w:rPr>
          <w:t>ev</w:t>
        </w:r>
      </w:smartTag>
      <w:r w:rsidRPr="00D6441B">
        <w:rPr>
          <w:rFonts w:ascii="Times New Roman" w:hAnsi="Times New Roman"/>
          <w:bCs/>
          <w:sz w:val="24"/>
          <w:szCs w:val="24"/>
          <w:lang w:eastAsia="ar-SA"/>
        </w:rPr>
        <w:t>renin korunması yoluyla toplumsal atık sorununa katkıda bulunmaktadır.</w:t>
      </w:r>
    </w:p>
    <w:p w:rsidR="001F5FA8" w:rsidRPr="00EC400F" w:rsidRDefault="001F5FA8" w:rsidP="001F5FA8">
      <w:pPr>
        <w:numPr>
          <w:ilvl w:val="0"/>
          <w:numId w:val="7"/>
        </w:numPr>
        <w:autoSpaceDE w:val="0"/>
        <w:autoSpaceDN w:val="0"/>
        <w:adjustRightInd w:val="0"/>
        <w:spacing w:before="120" w:after="120" w:line="240" w:lineRule="auto"/>
        <w:ind w:left="0" w:firstLine="0"/>
        <w:jc w:val="both"/>
        <w:rPr>
          <w:rFonts w:ascii="Times New Roman" w:hAnsi="Times New Roman"/>
          <w:sz w:val="24"/>
          <w:szCs w:val="24"/>
          <w:lang w:eastAsia="ar-SA"/>
        </w:rPr>
      </w:pPr>
      <w:r w:rsidRPr="00D6441B">
        <w:rPr>
          <w:rFonts w:ascii="Times New Roman" w:hAnsi="Times New Roman"/>
          <w:bCs/>
          <w:sz w:val="24"/>
          <w:szCs w:val="24"/>
        </w:rPr>
        <w:t>Geleceğe ve ekonomiye yatırım yapılmıştır.</w:t>
      </w:r>
    </w:p>
    <w:p w:rsidR="001F5FA8" w:rsidRPr="00D6441B" w:rsidRDefault="001F5FA8" w:rsidP="001F5FA8">
      <w:pPr>
        <w:spacing w:before="120" w:after="120" w:line="240" w:lineRule="auto"/>
        <w:ind w:right="-214"/>
        <w:jc w:val="both"/>
        <w:rPr>
          <w:rFonts w:ascii="Times New Roman" w:hAnsi="Times New Roman"/>
          <w:b/>
          <w:sz w:val="24"/>
          <w:szCs w:val="24"/>
        </w:rPr>
      </w:pPr>
    </w:p>
    <w:p w:rsidR="001F5FA8" w:rsidRPr="00D6441B" w:rsidRDefault="001F5FA8" w:rsidP="001F5FA8">
      <w:pPr>
        <w:spacing w:before="120" w:after="120" w:line="240" w:lineRule="auto"/>
        <w:ind w:right="-214"/>
        <w:jc w:val="both"/>
        <w:rPr>
          <w:rFonts w:ascii="Times New Roman" w:hAnsi="Times New Roman"/>
          <w:b/>
          <w:sz w:val="24"/>
          <w:szCs w:val="24"/>
        </w:rPr>
      </w:pPr>
      <w:r w:rsidRPr="00D6441B">
        <w:rPr>
          <w:rFonts w:ascii="Times New Roman" w:hAnsi="Times New Roman"/>
          <w:b/>
          <w:sz w:val="24"/>
          <w:szCs w:val="24"/>
        </w:rPr>
        <w:t>4. TEŞEKKÜR</w:t>
      </w:r>
    </w:p>
    <w:p w:rsidR="001F5FA8" w:rsidRPr="00D6441B" w:rsidRDefault="001F5FA8" w:rsidP="001F5FA8">
      <w:pPr>
        <w:spacing w:before="120" w:after="120" w:line="240" w:lineRule="auto"/>
        <w:ind w:right="33"/>
        <w:jc w:val="both"/>
        <w:rPr>
          <w:rFonts w:ascii="Times New Roman" w:hAnsi="Times New Roman"/>
          <w:noProof/>
          <w:sz w:val="24"/>
          <w:szCs w:val="24"/>
        </w:rPr>
      </w:pPr>
    </w:p>
    <w:p w:rsidR="001F5FA8" w:rsidRPr="00D6441B" w:rsidRDefault="001F5FA8" w:rsidP="001F5FA8">
      <w:pPr>
        <w:spacing w:before="120" w:after="120" w:line="240" w:lineRule="auto"/>
        <w:ind w:right="33"/>
        <w:jc w:val="both"/>
        <w:rPr>
          <w:rFonts w:ascii="Times New Roman" w:hAnsi="Times New Roman"/>
          <w:noProof/>
          <w:sz w:val="24"/>
          <w:szCs w:val="24"/>
        </w:rPr>
      </w:pPr>
      <w:r w:rsidRPr="00D6441B">
        <w:rPr>
          <w:rFonts w:ascii="Times New Roman" w:hAnsi="Times New Roman"/>
          <w:noProof/>
          <w:sz w:val="24"/>
          <w:szCs w:val="24"/>
        </w:rPr>
        <w:t>Bu çalışma, TÜBİTAK Kamu Kurumları Araştırma ve Geliştirme Projeleri Destekleme Programı (1007) kapsamında yapılan projede elde edilen bazı sonuçlar içermekte olup, projenin her aşamasında emeklerini esirgemeyen AKÇANSA A.Ş. elemanı Abdülrahim ZENGİN ve TÜBİTAK MAM elemanları Erbay KELEŞ ve Hidayet BODUR’a teşekkür ederiz.</w:t>
      </w:r>
    </w:p>
    <w:p w:rsidR="001F5FA8" w:rsidRDefault="001F5FA8" w:rsidP="001F5FA8">
      <w:pPr>
        <w:spacing w:before="120" w:after="120" w:line="240" w:lineRule="auto"/>
        <w:ind w:right="33"/>
        <w:jc w:val="both"/>
        <w:rPr>
          <w:rFonts w:ascii="Times New Roman" w:hAnsi="Times New Roman"/>
          <w:noProof/>
          <w:sz w:val="24"/>
          <w:szCs w:val="24"/>
        </w:rPr>
      </w:pPr>
    </w:p>
    <w:p w:rsidR="00990ABB" w:rsidRDefault="00990ABB" w:rsidP="001F5FA8">
      <w:pPr>
        <w:spacing w:before="120" w:after="120" w:line="240" w:lineRule="auto"/>
        <w:ind w:right="33"/>
        <w:jc w:val="both"/>
        <w:rPr>
          <w:rFonts w:ascii="Times New Roman" w:hAnsi="Times New Roman"/>
          <w:noProof/>
          <w:sz w:val="24"/>
          <w:szCs w:val="24"/>
        </w:rPr>
      </w:pPr>
    </w:p>
    <w:p w:rsidR="00990ABB" w:rsidRPr="00D6441B" w:rsidRDefault="00990ABB" w:rsidP="001F5FA8">
      <w:pPr>
        <w:spacing w:before="120" w:after="120" w:line="240" w:lineRule="auto"/>
        <w:ind w:right="33"/>
        <w:jc w:val="both"/>
        <w:rPr>
          <w:rFonts w:ascii="Times New Roman" w:hAnsi="Times New Roman"/>
          <w:noProof/>
          <w:sz w:val="24"/>
          <w:szCs w:val="24"/>
        </w:rPr>
      </w:pPr>
    </w:p>
    <w:p w:rsidR="001F5FA8" w:rsidRPr="00D6441B" w:rsidRDefault="001F5FA8" w:rsidP="001F5FA8">
      <w:pPr>
        <w:spacing w:before="120" w:after="120" w:line="240" w:lineRule="auto"/>
        <w:ind w:right="33"/>
        <w:jc w:val="both"/>
        <w:rPr>
          <w:rFonts w:ascii="Times New Roman" w:hAnsi="Times New Roman"/>
          <w:b/>
          <w:bCs/>
          <w:sz w:val="24"/>
          <w:szCs w:val="24"/>
        </w:rPr>
      </w:pPr>
      <w:r w:rsidRPr="00D6441B">
        <w:rPr>
          <w:rFonts w:ascii="Times New Roman" w:hAnsi="Times New Roman"/>
          <w:b/>
          <w:noProof/>
          <w:sz w:val="24"/>
          <w:szCs w:val="24"/>
        </w:rPr>
        <w:lastRenderedPageBreak/>
        <w:t>5. KAYNAKLAR</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D55BA2" w:rsidP="00CC43FF">
      <w:pPr>
        <w:spacing w:before="120" w:after="120" w:line="240" w:lineRule="auto"/>
        <w:ind w:left="567" w:hanging="567"/>
        <w:jc w:val="both"/>
        <w:rPr>
          <w:rFonts w:ascii="Times New Roman" w:hAnsi="Times New Roman"/>
          <w:sz w:val="24"/>
          <w:szCs w:val="24"/>
        </w:rPr>
      </w:pPr>
      <w:hyperlink r:id="rId37" w:history="1">
        <w:r w:rsidR="001F5FA8" w:rsidRPr="00D6441B">
          <w:rPr>
            <w:rFonts w:ascii="Times New Roman" w:hAnsi="Times New Roman"/>
            <w:sz w:val="24"/>
            <w:szCs w:val="24"/>
          </w:rPr>
          <w:t>Arosio, S.</w:t>
        </w:r>
      </w:hyperlink>
      <w:r w:rsidR="001F5FA8" w:rsidRPr="00D6441B">
        <w:rPr>
          <w:rFonts w:ascii="Times New Roman" w:hAnsi="Times New Roman"/>
          <w:sz w:val="24"/>
          <w:szCs w:val="24"/>
        </w:rPr>
        <w:t xml:space="preserve"> ; </w:t>
      </w:r>
      <w:hyperlink r:id="rId38" w:history="1">
        <w:r w:rsidR="001F5FA8" w:rsidRPr="00D6441B">
          <w:rPr>
            <w:rFonts w:ascii="Times New Roman" w:hAnsi="Times New Roman"/>
            <w:sz w:val="24"/>
            <w:szCs w:val="24"/>
          </w:rPr>
          <w:t>Cassitto, L.G.</w:t>
        </w:r>
      </w:hyperlink>
      <w:r w:rsidR="001F5FA8" w:rsidRPr="00D6441B">
        <w:rPr>
          <w:rFonts w:ascii="Times New Roman" w:hAnsi="Times New Roman"/>
          <w:sz w:val="24"/>
          <w:szCs w:val="24"/>
        </w:rPr>
        <w:t xml:space="preserve"> ; </w:t>
      </w:r>
      <w:hyperlink r:id="rId39" w:history="1">
        <w:r w:rsidR="001F5FA8" w:rsidRPr="00D6441B">
          <w:rPr>
            <w:rFonts w:ascii="Times New Roman" w:hAnsi="Times New Roman"/>
            <w:sz w:val="24"/>
            <w:szCs w:val="24"/>
          </w:rPr>
          <w:t>Crescenti, A.B.</w:t>
        </w:r>
      </w:hyperlink>
      <w:r w:rsidR="001F5FA8" w:rsidRPr="00D6441B">
        <w:rPr>
          <w:rFonts w:ascii="Times New Roman" w:hAnsi="Times New Roman"/>
          <w:sz w:val="24"/>
          <w:szCs w:val="24"/>
        </w:rPr>
        <w:t xml:space="preserve"> ,Co-firing of Refuse Derived Fuel (RDF) with Natural Gas in a Cement Kiln: Summary of Test Results, Technical Report, OSTI ID: 6962787; DE88015217, 1980.</w:t>
      </w:r>
    </w:p>
    <w:p w:rsidR="001F5FA8" w:rsidRPr="00D6441B" w:rsidRDefault="001F5FA8" w:rsidP="00CC43FF">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Atıkların Yakılmasına İlişkin Yönetmelik, Sayı:27721, Tarih:06.10.2010.</w:t>
      </w:r>
    </w:p>
    <w:p w:rsidR="001F5FA8" w:rsidRPr="00D6441B" w:rsidRDefault="00D55BA2" w:rsidP="00CC43FF">
      <w:pPr>
        <w:spacing w:before="120" w:after="120" w:line="240" w:lineRule="auto"/>
        <w:ind w:left="567" w:hanging="567"/>
        <w:jc w:val="both"/>
        <w:rPr>
          <w:rFonts w:ascii="Times New Roman" w:hAnsi="Times New Roman"/>
          <w:sz w:val="24"/>
          <w:szCs w:val="24"/>
        </w:rPr>
      </w:pPr>
      <w:hyperlink r:id="rId40" w:history="1">
        <w:r w:rsidR="001F5FA8" w:rsidRPr="00D6441B">
          <w:rPr>
            <w:rFonts w:ascii="Times New Roman" w:hAnsi="Times New Roman"/>
            <w:sz w:val="24"/>
            <w:szCs w:val="24"/>
          </w:rPr>
          <w:t>Lockwood, F.C.</w:t>
        </w:r>
      </w:hyperlink>
      <w:r w:rsidR="001F5FA8" w:rsidRPr="00D6441B">
        <w:rPr>
          <w:rFonts w:ascii="Times New Roman" w:hAnsi="Times New Roman"/>
          <w:sz w:val="24"/>
          <w:szCs w:val="24"/>
        </w:rPr>
        <w:t xml:space="preserve">; </w:t>
      </w:r>
      <w:hyperlink r:id="rId41" w:history="1">
        <w:r w:rsidR="001F5FA8" w:rsidRPr="00D6441B">
          <w:rPr>
            <w:rFonts w:ascii="Times New Roman" w:hAnsi="Times New Roman"/>
            <w:sz w:val="24"/>
            <w:szCs w:val="24"/>
          </w:rPr>
          <w:t>Ou, J.J.</w:t>
        </w:r>
      </w:hyperlink>
      <w:r w:rsidR="001F5FA8" w:rsidRPr="00D6441B">
        <w:rPr>
          <w:rFonts w:ascii="Times New Roman" w:hAnsi="Times New Roman"/>
          <w:sz w:val="24"/>
          <w:szCs w:val="24"/>
        </w:rPr>
        <w:t xml:space="preserve"> </w:t>
      </w:r>
      <w:r w:rsidR="001F5FA8" w:rsidRPr="00D6441B">
        <w:rPr>
          <w:rFonts w:ascii="Times New Roman" w:hAnsi="Times New Roman"/>
          <w:bCs/>
          <w:sz w:val="24"/>
          <w:szCs w:val="24"/>
        </w:rPr>
        <w:t>R</w:t>
      </w:r>
      <w:smartTag w:uri="urn:schemas-microsoft-com:office:smarttags" w:element="PersonName">
        <w:r w:rsidR="001F5FA8" w:rsidRPr="00D6441B">
          <w:rPr>
            <w:rFonts w:ascii="Times New Roman" w:hAnsi="Times New Roman"/>
            <w:bCs/>
            <w:sz w:val="24"/>
            <w:szCs w:val="24"/>
          </w:rPr>
          <w:t>ev</w:t>
        </w:r>
      </w:smartTag>
      <w:r w:rsidR="001F5FA8" w:rsidRPr="00D6441B">
        <w:rPr>
          <w:rFonts w:ascii="Times New Roman" w:hAnsi="Times New Roman"/>
          <w:bCs/>
          <w:sz w:val="24"/>
          <w:szCs w:val="24"/>
        </w:rPr>
        <w:t xml:space="preserve">iew: Burning Refuse Derived Fuel in a Rotary Cement Kiln, </w:t>
      </w:r>
      <w:r w:rsidR="001F5FA8" w:rsidRPr="00D6441B">
        <w:rPr>
          <w:rFonts w:ascii="Times New Roman" w:hAnsi="Times New Roman"/>
          <w:sz w:val="24"/>
          <w:szCs w:val="24"/>
        </w:rPr>
        <w:t>207, 1, 65 – 70, 1993.</w:t>
      </w:r>
    </w:p>
    <w:p w:rsidR="001F5FA8" w:rsidRPr="00D6441B" w:rsidRDefault="001F5FA8" w:rsidP="00CC43FF">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lastRenderedPageBreak/>
        <w:t xml:space="preserve">Şenol Yıldız, </w:t>
      </w:r>
      <w:smartTag w:uri="urn:schemas-microsoft-com:office:smarttags" w:element="PersonName">
        <w:smartTagPr>
          <w:attr w:name="ProductID" w:val="Volkan Enç"/>
        </w:smartTagPr>
        <w:r w:rsidRPr="00D6441B">
          <w:rPr>
            <w:rFonts w:ascii="Times New Roman" w:hAnsi="Times New Roman"/>
            <w:sz w:val="24"/>
            <w:szCs w:val="24"/>
          </w:rPr>
          <w:t>Volkan Enç</w:t>
        </w:r>
      </w:smartTag>
      <w:r w:rsidRPr="00D6441B">
        <w:rPr>
          <w:rFonts w:ascii="Times New Roman" w:hAnsi="Times New Roman"/>
          <w:sz w:val="24"/>
          <w:szCs w:val="24"/>
        </w:rPr>
        <w:t xml:space="preserve">, Fatih Saltabaş, </w:t>
      </w:r>
      <w:smartTag w:uri="urn:schemas-microsoft-com:office:smarttags" w:element="PersonName">
        <w:r w:rsidRPr="00D6441B">
          <w:rPr>
            <w:rFonts w:ascii="Times New Roman" w:hAnsi="Times New Roman"/>
            <w:sz w:val="24"/>
            <w:szCs w:val="24"/>
          </w:rPr>
          <w:t>Mustafa Kara</w:t>
        </w:r>
      </w:smartTag>
      <w:r w:rsidRPr="00D6441B">
        <w:rPr>
          <w:rFonts w:ascii="Times New Roman" w:hAnsi="Times New Roman"/>
          <w:sz w:val="24"/>
          <w:szCs w:val="24"/>
        </w:rPr>
        <w:t xml:space="preserve">, Esin Günay, Evsel Katı Atıkların Çimento Fırınlarında Ek Yakıt Olarak Kullanımının Araştırılması,  TÜRKAY 2009, Türkiye’de Katı Atık Yönetimi Sempozyumu, İstanbul 2009. </w:t>
      </w:r>
    </w:p>
    <w:p w:rsidR="001F5FA8" w:rsidRPr="00D6441B" w:rsidRDefault="001F5FA8" w:rsidP="00CC43FF">
      <w:pPr>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Turhan Y. Erdoğan, Betonu Oluşturan Malzemeler, Çimentolar, ODTÜ İnşaat Mühendisliği Bölümü, TÇMB, 2004.</w:t>
      </w:r>
    </w:p>
    <w:p w:rsidR="00273EA0" w:rsidRDefault="001F5FA8" w:rsidP="00CC43FF">
      <w:pPr>
        <w:spacing w:before="120" w:after="120" w:line="240" w:lineRule="auto"/>
        <w:ind w:left="567" w:hanging="567"/>
        <w:jc w:val="both"/>
        <w:rPr>
          <w:rFonts w:ascii="Times New Roman" w:hAnsi="Times New Roman"/>
          <w:bCs/>
          <w:sz w:val="24"/>
          <w:szCs w:val="24"/>
          <w:lang w:val="en-US"/>
        </w:rPr>
        <w:sectPr w:rsidR="00273EA0" w:rsidSect="00E230BE">
          <w:type w:val="continuous"/>
          <w:pgSz w:w="11906" w:h="16838"/>
          <w:pgMar w:top="1417" w:right="849" w:bottom="1417" w:left="1134" w:header="708" w:footer="340" w:gutter="0"/>
          <w:cols w:num="2" w:space="708"/>
          <w:docGrid w:linePitch="360"/>
        </w:sectPr>
      </w:pPr>
      <w:r w:rsidRPr="00D6441B">
        <w:rPr>
          <w:rFonts w:ascii="Times New Roman" w:hAnsi="Times New Roman"/>
          <w:sz w:val="24"/>
          <w:szCs w:val="24"/>
          <w:lang w:val="de-DE"/>
        </w:rPr>
        <w:t xml:space="preserve">Ulrich Hock, BEUMER Maschinenfabrik GmbH &amp; Co. </w:t>
      </w:r>
      <w:r w:rsidRPr="00D6441B">
        <w:rPr>
          <w:rFonts w:ascii="Times New Roman" w:hAnsi="Times New Roman"/>
          <w:sz w:val="24"/>
          <w:szCs w:val="24"/>
          <w:lang w:val="en-US"/>
        </w:rPr>
        <w:t xml:space="preserve">KG, </w:t>
      </w:r>
      <w:r w:rsidRPr="00D6441B">
        <w:rPr>
          <w:rFonts w:ascii="Times New Roman" w:hAnsi="Times New Roman"/>
          <w:bCs/>
          <w:sz w:val="24"/>
          <w:szCs w:val="24"/>
          <w:lang w:val="en-US"/>
        </w:rPr>
        <w:t>System technology for the use of alternative fuels for kiln firing in the cement industry</w:t>
      </w:r>
    </w:p>
    <w:p w:rsidR="001F5FA8" w:rsidRPr="00D6441B" w:rsidRDefault="001F5FA8" w:rsidP="001F5FA8">
      <w:pPr>
        <w:spacing w:before="120" w:after="120" w:line="240" w:lineRule="auto"/>
        <w:jc w:val="both"/>
        <w:rPr>
          <w:rFonts w:ascii="Times New Roman" w:hAnsi="Times New Roman"/>
          <w:bCs/>
          <w:sz w:val="24"/>
          <w:szCs w:val="24"/>
          <w:lang w:val="en-US"/>
        </w:rPr>
      </w:pPr>
    </w:p>
    <w:p w:rsidR="001F5FA8" w:rsidRDefault="001F5FA8">
      <w:pPr>
        <w:rPr>
          <w:rFonts w:ascii="Times New Roman" w:hAnsi="Times New Roman"/>
          <w:sz w:val="24"/>
          <w:szCs w:val="24"/>
          <w:lang w:eastAsia="tr-TR"/>
        </w:rPr>
      </w:pPr>
      <w:r>
        <w:rPr>
          <w:rFonts w:ascii="Times New Roman" w:hAnsi="Times New Roman"/>
          <w:sz w:val="24"/>
          <w:szCs w:val="24"/>
          <w:lang w:eastAsia="tr-TR"/>
        </w:rPr>
        <w:br w:type="page"/>
      </w:r>
    </w:p>
    <w:p w:rsidR="001F5FA8" w:rsidRPr="00F703CB" w:rsidRDefault="001F5FA8" w:rsidP="001F5FA8">
      <w:pPr>
        <w:spacing w:before="120" w:after="120" w:line="240" w:lineRule="auto"/>
        <w:jc w:val="center"/>
        <w:rPr>
          <w:rFonts w:ascii="Times New Roman" w:hAnsi="Times New Roman"/>
          <w:b/>
          <w:sz w:val="32"/>
          <w:szCs w:val="24"/>
        </w:rPr>
      </w:pPr>
    </w:p>
    <w:p w:rsidR="001F5FA8" w:rsidRPr="00F703CB" w:rsidRDefault="001F5FA8" w:rsidP="001F5FA8">
      <w:pPr>
        <w:spacing w:before="120" w:after="120" w:line="240" w:lineRule="auto"/>
        <w:jc w:val="center"/>
        <w:rPr>
          <w:rFonts w:ascii="Times New Roman" w:hAnsi="Times New Roman"/>
          <w:b/>
          <w:sz w:val="32"/>
          <w:szCs w:val="24"/>
        </w:rPr>
      </w:pPr>
    </w:p>
    <w:p w:rsidR="001F5FA8" w:rsidRPr="00F703CB" w:rsidRDefault="001F5FA8" w:rsidP="001F5FA8">
      <w:pPr>
        <w:spacing w:before="120" w:after="120" w:line="240" w:lineRule="auto"/>
        <w:jc w:val="center"/>
        <w:rPr>
          <w:rFonts w:ascii="Times New Roman" w:hAnsi="Times New Roman"/>
          <w:b/>
          <w:sz w:val="32"/>
          <w:szCs w:val="24"/>
        </w:rPr>
      </w:pPr>
      <w:r w:rsidRPr="00F703CB">
        <w:rPr>
          <w:rFonts w:ascii="Times New Roman" w:hAnsi="Times New Roman"/>
          <w:b/>
          <w:sz w:val="32"/>
          <w:szCs w:val="24"/>
        </w:rPr>
        <w:t>ECZANELERDEN KAYNAKLANAN RAF ÖMRÜ DOLMUŞ İLAÇ ATIKLARININ YÖNETİMİ, İSTANBUL ÖRNEĞİ</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Tansu Haksevenler</w:t>
      </w:r>
    </w:p>
    <w:p w:rsidR="001F5FA8" w:rsidRPr="00D6441B" w:rsidRDefault="001F5FA8" w:rsidP="001F5FA8">
      <w:pPr>
        <w:spacing w:after="0" w:line="240" w:lineRule="auto"/>
        <w:jc w:val="both"/>
        <w:rPr>
          <w:rFonts w:ascii="Times New Roman" w:hAnsi="Times New Roman"/>
          <w:sz w:val="24"/>
          <w:szCs w:val="24"/>
        </w:rPr>
      </w:pPr>
      <w:r w:rsidRPr="00D6441B">
        <w:rPr>
          <w:rFonts w:ascii="Times New Roman" w:hAnsi="Times New Roman"/>
          <w:sz w:val="24"/>
          <w:szCs w:val="24"/>
        </w:rPr>
        <w:t>Ekolojik Enerji A.Ş. Hasdal Yolu 6.km Kemerburgaz, Eyüp, İstanbul</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Özet</w:t>
      </w: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sz w:val="24"/>
          <w:szCs w:val="24"/>
        </w:rPr>
        <w:t>Yarım kalan, kullanılmamış, son kullanma tarihi geçmiş ilaçlar, majistral ilaç yapımında kullanılan kimyasal maddeler ve bunların kapları, enjeksiyon sonrası oluşan atıklar, ambalaj malzemeleri eczane atıkları olarak sınıflandırılmaktadır. Eczane atıklarının yönetimi insan ve çevre sağlığı açısından son derece önemlidir. Ülkemizde tehlikeli atıklar ile ilgili mevzuat olmasına rağmen, bu mevzuatın eczanelerde uygulanabilirliği çok zordur. Bu çalışmanın amacı raf ömrü dolmuş ilaç atıklarının bertarafında uygun bir model oluşturulması ve bu modelin İstanbul örneğinde uygulanarak tehlikeli madde statüsünde bulunan ilaç atığının evsel atığa karışmasının engellenmesidir.</w:t>
      </w:r>
    </w:p>
    <w:p w:rsidR="001F5FA8" w:rsidRPr="00D6441B" w:rsidRDefault="001F5FA8" w:rsidP="001F5FA8">
      <w:pPr>
        <w:spacing w:before="120" w:after="120" w:line="240" w:lineRule="auto"/>
        <w:jc w:val="both"/>
        <w:rPr>
          <w:rFonts w:ascii="Times New Roman" w:hAnsi="Times New Roman"/>
          <w:i/>
          <w:sz w:val="24"/>
          <w:szCs w:val="24"/>
        </w:rPr>
      </w:pPr>
      <w:r w:rsidRPr="00D6441B">
        <w:rPr>
          <w:rFonts w:ascii="Times New Roman" w:hAnsi="Times New Roman"/>
          <w:b/>
          <w:i/>
          <w:sz w:val="24"/>
          <w:szCs w:val="24"/>
        </w:rPr>
        <w:t>Anahtar Kelimeler:</w:t>
      </w:r>
      <w:r w:rsidRPr="00D6441B">
        <w:rPr>
          <w:rFonts w:ascii="Times New Roman" w:hAnsi="Times New Roman"/>
          <w:i/>
          <w:sz w:val="24"/>
          <w:szCs w:val="24"/>
        </w:rPr>
        <w:t xml:space="preserve"> Atık yönetimi, bertaraf, model, </w:t>
      </w:r>
      <w:r>
        <w:rPr>
          <w:rFonts w:ascii="Times New Roman" w:hAnsi="Times New Roman"/>
          <w:i/>
          <w:sz w:val="24"/>
          <w:szCs w:val="24"/>
        </w:rPr>
        <w:t>raf ömrü dolmuş ilaç atıkları</w:t>
      </w:r>
    </w:p>
    <w:p w:rsidR="001F5FA8" w:rsidRPr="00D6441B" w:rsidRDefault="001F5FA8" w:rsidP="001F5FA8">
      <w:pPr>
        <w:spacing w:before="120" w:after="120" w:line="240" w:lineRule="auto"/>
        <w:jc w:val="both"/>
        <w:rPr>
          <w:rFonts w:ascii="Times New Roman" w:hAnsi="Times New Roman"/>
          <w:b/>
          <w:sz w:val="24"/>
          <w:szCs w:val="24"/>
        </w:rPr>
      </w:pPr>
    </w:p>
    <w:p w:rsidR="001F5FA8" w:rsidRPr="009542FF" w:rsidRDefault="001F5FA8" w:rsidP="001F5FA8">
      <w:pPr>
        <w:spacing w:before="120" w:after="120" w:line="240" w:lineRule="auto"/>
        <w:jc w:val="both"/>
        <w:rPr>
          <w:rFonts w:ascii="Times New Roman" w:hAnsi="Times New Roman"/>
          <w:b/>
          <w:sz w:val="28"/>
          <w:szCs w:val="28"/>
        </w:rPr>
      </w:pPr>
      <w:r w:rsidRPr="009542FF">
        <w:rPr>
          <w:rStyle w:val="hps"/>
          <w:rFonts w:ascii="Times New Roman" w:eastAsiaTheme="majorEastAsia" w:hAnsi="Times New Roman"/>
          <w:b/>
          <w:color w:val="000000"/>
          <w:sz w:val="28"/>
          <w:szCs w:val="28"/>
        </w:rPr>
        <w:t xml:space="preserve">THE MANAGENT OF SHELF LIFE EXPIRED </w:t>
      </w:r>
      <w:r w:rsidRPr="009542FF">
        <w:rPr>
          <w:rFonts w:ascii="Times New Roman" w:hAnsi="Times New Roman"/>
          <w:b/>
          <w:sz w:val="28"/>
          <w:szCs w:val="28"/>
          <w:lang w:val="en-US"/>
        </w:rPr>
        <w:t>PHARMACEUTICAL WASTE</w:t>
      </w:r>
      <w:r w:rsidRPr="009542FF">
        <w:rPr>
          <w:rStyle w:val="hps"/>
          <w:rFonts w:ascii="Times New Roman" w:eastAsiaTheme="majorEastAsia" w:hAnsi="Times New Roman"/>
          <w:b/>
          <w:color w:val="000000"/>
          <w:sz w:val="28"/>
          <w:szCs w:val="28"/>
        </w:rPr>
        <w:t>S</w:t>
      </w:r>
      <w:r w:rsidRPr="009542FF">
        <w:rPr>
          <w:rFonts w:ascii="Times New Roman" w:hAnsi="Times New Roman"/>
          <w:b/>
          <w:color w:val="000000"/>
          <w:sz w:val="28"/>
          <w:szCs w:val="28"/>
        </w:rPr>
        <w:t xml:space="preserve">, </w:t>
      </w:r>
      <w:r w:rsidRPr="009542FF">
        <w:rPr>
          <w:rStyle w:val="hps"/>
          <w:rFonts w:ascii="Times New Roman" w:eastAsiaTheme="majorEastAsia" w:hAnsi="Times New Roman"/>
          <w:b/>
          <w:color w:val="000000"/>
          <w:sz w:val="28"/>
          <w:szCs w:val="28"/>
        </w:rPr>
        <w:t>A CASE STUDY FOR</w:t>
      </w:r>
      <w:r w:rsidRPr="009542FF">
        <w:rPr>
          <w:rFonts w:ascii="Times New Roman" w:hAnsi="Times New Roman"/>
          <w:b/>
          <w:color w:val="000000"/>
          <w:sz w:val="28"/>
          <w:szCs w:val="28"/>
        </w:rPr>
        <w:t xml:space="preserve"> </w:t>
      </w:r>
      <w:r w:rsidRPr="009542FF">
        <w:rPr>
          <w:rStyle w:val="hps"/>
          <w:rFonts w:ascii="Times New Roman" w:eastAsiaTheme="majorEastAsia" w:hAnsi="Times New Roman"/>
          <w:b/>
          <w:color w:val="000000"/>
          <w:sz w:val="28"/>
          <w:szCs w:val="28"/>
        </w:rPr>
        <w:t>İSTANBUL</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Abstract</w:t>
      </w:r>
    </w:p>
    <w:p w:rsidR="001F5FA8" w:rsidRPr="00D6441B" w:rsidRDefault="001F5FA8" w:rsidP="001F5FA8">
      <w:pPr>
        <w:spacing w:before="120" w:after="120" w:line="240" w:lineRule="auto"/>
        <w:jc w:val="both"/>
        <w:rPr>
          <w:rFonts w:ascii="Times New Roman" w:hAnsi="Times New Roman"/>
          <w:sz w:val="24"/>
          <w:szCs w:val="24"/>
          <w:lang w:val="en-US"/>
        </w:rPr>
      </w:pPr>
      <w:r w:rsidRPr="00D6441B">
        <w:rPr>
          <w:rFonts w:ascii="Times New Roman" w:hAnsi="Times New Roman"/>
          <w:sz w:val="24"/>
          <w:szCs w:val="24"/>
          <w:lang w:val="en-US"/>
        </w:rPr>
        <w:t>Remained, unused, expired medicines, magistral drugs used in the production of chemical substances and their containers, wastes after injection and packaging materials are classified as pharmaceutical waste. Pharmaceutical waste management is extremely significant for human health and the environment. Although there is a legislation relating to hazardous wastes in our country, it is very complicated to put in force this legislation to pharmacies. The purpose of this study was to establish a suitable model for disposing expired shelf-life pharmaceutical drugs. This suggested model is applied to the case of İstanbul in order to prevent the intermingling of pharmaceutical and household wastes.</w:t>
      </w:r>
    </w:p>
    <w:p w:rsidR="001F5FA8" w:rsidRPr="00D6441B" w:rsidRDefault="001F5FA8" w:rsidP="001F5FA8">
      <w:pPr>
        <w:spacing w:before="120" w:after="120" w:line="240" w:lineRule="auto"/>
        <w:jc w:val="both"/>
        <w:rPr>
          <w:rFonts w:ascii="Times New Roman" w:hAnsi="Times New Roman"/>
          <w:b/>
          <w:i/>
          <w:sz w:val="24"/>
          <w:szCs w:val="24"/>
        </w:rPr>
      </w:pPr>
      <w:r w:rsidRPr="00D6441B">
        <w:rPr>
          <w:rFonts w:ascii="Times New Roman" w:hAnsi="Times New Roman"/>
          <w:b/>
          <w:i/>
          <w:sz w:val="24"/>
          <w:szCs w:val="24"/>
          <w:lang w:val="en-US"/>
        </w:rPr>
        <w:t>Keywords</w:t>
      </w:r>
      <w:r w:rsidRPr="00D6441B">
        <w:rPr>
          <w:rFonts w:ascii="Times New Roman" w:hAnsi="Times New Roman"/>
          <w:b/>
          <w:i/>
          <w:sz w:val="24"/>
          <w:szCs w:val="24"/>
        </w:rPr>
        <w:t>:</w:t>
      </w:r>
      <w:r w:rsidRPr="00D6441B">
        <w:rPr>
          <w:rFonts w:ascii="Times New Roman" w:hAnsi="Times New Roman"/>
          <w:i/>
          <w:sz w:val="24"/>
          <w:szCs w:val="24"/>
          <w:lang w:val="en-US"/>
        </w:rPr>
        <w:t xml:space="preserve"> Disposal, expired shelf-life pharmaceutical wastes, model, waste </w:t>
      </w:r>
      <w:r>
        <w:rPr>
          <w:rFonts w:ascii="Times New Roman" w:hAnsi="Times New Roman"/>
          <w:i/>
          <w:sz w:val="24"/>
          <w:szCs w:val="24"/>
          <w:lang w:val="en-US"/>
        </w:rPr>
        <w:t>m</w:t>
      </w:r>
      <w:r w:rsidRPr="00D6441B">
        <w:rPr>
          <w:rFonts w:ascii="Times New Roman" w:hAnsi="Times New Roman"/>
          <w:i/>
          <w:sz w:val="24"/>
          <w:szCs w:val="24"/>
          <w:lang w:val="en-US"/>
        </w:rPr>
        <w:t>anagement</w:t>
      </w:r>
    </w:p>
    <w:p w:rsidR="001F5FA8" w:rsidRPr="00D6441B" w:rsidRDefault="001F5FA8" w:rsidP="001F5FA8">
      <w:pPr>
        <w:spacing w:before="120" w:after="120" w:line="240" w:lineRule="auto"/>
        <w:jc w:val="both"/>
        <w:rPr>
          <w:rFonts w:ascii="Times New Roman" w:hAnsi="Times New Roman"/>
          <w:b/>
          <w:sz w:val="24"/>
          <w:szCs w:val="24"/>
        </w:rPr>
      </w:pPr>
    </w:p>
    <w:p w:rsidR="009542FF" w:rsidRDefault="009542FF" w:rsidP="001F5FA8">
      <w:pPr>
        <w:pStyle w:val="ListParagraph"/>
        <w:numPr>
          <w:ilvl w:val="0"/>
          <w:numId w:val="9"/>
        </w:numPr>
        <w:spacing w:before="120" w:after="120"/>
        <w:ind w:left="0" w:firstLine="0"/>
        <w:contextualSpacing/>
        <w:jc w:val="both"/>
        <w:rPr>
          <w:b/>
        </w:rPr>
        <w:sectPr w:rsidR="009542FF" w:rsidSect="00E230BE">
          <w:type w:val="continuous"/>
          <w:pgSz w:w="11906" w:h="16838"/>
          <w:pgMar w:top="1417" w:right="849" w:bottom="1417" w:left="1134" w:header="708" w:footer="340" w:gutter="0"/>
          <w:cols w:space="708"/>
          <w:docGrid w:linePitch="360"/>
        </w:sectPr>
      </w:pPr>
    </w:p>
    <w:p w:rsidR="001F5FA8" w:rsidRPr="00D6441B" w:rsidRDefault="001F5FA8" w:rsidP="001F5FA8">
      <w:pPr>
        <w:pStyle w:val="ListParagraph"/>
        <w:numPr>
          <w:ilvl w:val="0"/>
          <w:numId w:val="9"/>
        </w:numPr>
        <w:spacing w:before="120" w:after="120"/>
        <w:ind w:left="0" w:firstLine="0"/>
        <w:contextualSpacing/>
        <w:jc w:val="both"/>
        <w:rPr>
          <w:b/>
        </w:rPr>
      </w:pPr>
      <w:r w:rsidRPr="00D6441B">
        <w:rPr>
          <w:b/>
        </w:rPr>
        <w:lastRenderedPageBreak/>
        <w:t>GİRİŞ</w:t>
      </w:r>
    </w:p>
    <w:p w:rsidR="001F5FA8" w:rsidRPr="00D6441B" w:rsidRDefault="001F5FA8" w:rsidP="001F5FA8">
      <w:pPr>
        <w:pStyle w:val="ListParagraph"/>
        <w:spacing w:before="120" w:after="120"/>
        <w:ind w:left="0"/>
        <w:jc w:val="both"/>
        <w:rPr>
          <w:b/>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Türkiye genelinde evsel nitelikli atıklar çoğunlukla dere ve çay kenarlarına, terk edilmiş maden ocaklarına ve orman vasfını yitirmiş arazilere kontrolsüz bir şekilde dökülmektedir. Dökülen bu atıklar, sızıntı suları ile toprağı, akarsu ve yer altı sularını kirletmektedir. Bu alanlarda toplanan atıkların üstü zamanla kapatılmakta; kuruyan dere </w:t>
      </w:r>
      <w:r w:rsidRPr="00D6441B">
        <w:rPr>
          <w:rFonts w:ascii="Times New Roman" w:hAnsi="Times New Roman"/>
          <w:sz w:val="24"/>
          <w:szCs w:val="24"/>
        </w:rPr>
        <w:lastRenderedPageBreak/>
        <w:t xml:space="preserve">yataklarında toplananlarsa kışın taşkınların gelişiyle süpürülmektedir.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Düzensiz depolama yapılan alanlara atılan atıklar genelde hiçbir ayırma işleminden geçmeden toplanmaktadır. Bu durum evsel atıklar dışında, tehlikeli nitelikte olan atıkların da bu alanlarda toplanması ile sonuçlanmaktadır. Tehlikeli nitelikte olan atıklar alıcı ortama ulaştıklarında özellikle yer altı suyuna sızarak, ciddi sağlık sorunlarına yol </w:t>
      </w:r>
      <w:r w:rsidRPr="00D6441B">
        <w:rPr>
          <w:rFonts w:ascii="Times New Roman" w:hAnsi="Times New Roman"/>
          <w:sz w:val="24"/>
          <w:szCs w:val="24"/>
        </w:rPr>
        <w:lastRenderedPageBreak/>
        <w:t xml:space="preserve">açma riski taşımaktadır. Çoğunlukla evsel atıkların düzensiz olarak depolandığı bu alanlara tehlikeli atık sınıfında olan raf ömrü geçmiş ilaç atıkları da karışabilmektedir.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Eczane atıklarının (yarım kalan, kullanılmamış, son kullanma tarihi geçmiş ilaçlar, majistral ilaç yapımında kullanılan kimyasal maddeler ve bunların kapları, enjeksiyon sonrası oluşan atıklar, ambalaj malzemeleri) insan sağlığı ve çevre kirliliği üzerinde önemli etkileri bulunmaktadır.  Eczane atıklarının yönetimi insan ve çevre sağlığı açısından son derece önemlidir. Ülkemizde tehlikeli atıklar ile ilgili mevzuat olmasına rağmen, bu mevzuatın eczanelerde uygulanabilirliği çok zordur. Bu durum eczanelerin bir atık üreticisi değil, tedarikçisi olmasından kaynaklanmaktadır.</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Bu çalışmanın amacı raf ömrü dolmuş ilaç atıklarının bertarafında uygun bir model oluşturulması ve bu modelin İstanbul örneğinde uygulanarak tehlikeli madde statüsünde bulunan ilaç atığının evsel atığa karışmasının engellenmesidir.</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pStyle w:val="ListParagraph"/>
        <w:numPr>
          <w:ilvl w:val="0"/>
          <w:numId w:val="9"/>
        </w:numPr>
        <w:spacing w:before="120" w:after="120"/>
        <w:ind w:left="0" w:firstLine="0"/>
        <w:contextualSpacing/>
        <w:jc w:val="both"/>
        <w:rPr>
          <w:b/>
        </w:rPr>
      </w:pPr>
      <w:r w:rsidRPr="00D6441B">
        <w:rPr>
          <w:b/>
        </w:rPr>
        <w:t>MATERYAL VE METOD</w:t>
      </w:r>
    </w:p>
    <w:p w:rsidR="001F5FA8" w:rsidRPr="00D6441B" w:rsidRDefault="001F5FA8" w:rsidP="001F5FA8">
      <w:pPr>
        <w:pStyle w:val="ListParagraph"/>
        <w:spacing w:before="120" w:after="120"/>
        <w:ind w:left="0"/>
        <w:jc w:val="both"/>
        <w:rPr>
          <w:b/>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Çalışma kapsamında oluşturulan model, eczanelerden çıkan ilaç atıklarının tehlikeli atık konumunda olmasından dolayı söz konusu 50 kg ve altı ilaç atıkları için, Tehlikeli Atıkların Kontrolü Yönetmeliğinin 14.maddesi ve buna bağlı 11., 12., 13. maddelerine dayanılarak oluşturulmuştur. Gerçekleştirilmiş olan model, İstanbul İl Sağlık Müdürlüğü İlaç ve Ecza Şubesi ile görüşmeler neticesinde geliştirilmiş ve broşürler haline getirilerek eczacılara ulaştırılmıştır. </w:t>
      </w:r>
    </w:p>
    <w:p w:rsidR="00002611"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Bu model İstanbul örneğinde uygulanmaya çalışılmıştır.  2009 yılından itibaren İstanbul İl Sağlık Müdürlüğü İlaç ve Ecza Şubesi ile yapılan görüşmeler çerçevesinde İstanbul’daki eczane sayısı tespit edilmiştir</w:t>
      </w:r>
      <w:r w:rsidR="002D0399">
        <w:rPr>
          <w:rFonts w:ascii="Times New Roman" w:hAnsi="Times New Roman"/>
          <w:sz w:val="24"/>
          <w:szCs w:val="24"/>
        </w:rPr>
        <w:t>.</w:t>
      </w:r>
    </w:p>
    <w:p w:rsidR="002D0399" w:rsidRDefault="002D0399" w:rsidP="001F5FA8">
      <w:pPr>
        <w:spacing w:before="120" w:after="120" w:line="240" w:lineRule="auto"/>
        <w:jc w:val="both"/>
        <w:rPr>
          <w:rFonts w:ascii="Times New Roman" w:hAnsi="Times New Roman"/>
          <w:sz w:val="24"/>
          <w:szCs w:val="24"/>
        </w:rPr>
      </w:pPr>
    </w:p>
    <w:p w:rsidR="002D0399" w:rsidRDefault="002D0399" w:rsidP="001F5FA8">
      <w:pPr>
        <w:spacing w:before="120" w:after="120" w:line="240" w:lineRule="auto"/>
        <w:jc w:val="both"/>
        <w:rPr>
          <w:rFonts w:ascii="Times New Roman" w:hAnsi="Times New Roman"/>
          <w:sz w:val="24"/>
          <w:szCs w:val="24"/>
        </w:rPr>
      </w:pPr>
    </w:p>
    <w:p w:rsidR="002D0399" w:rsidRDefault="002D0399" w:rsidP="001F5FA8">
      <w:pPr>
        <w:spacing w:before="120" w:after="120" w:line="240" w:lineRule="auto"/>
        <w:jc w:val="both"/>
        <w:rPr>
          <w:rFonts w:ascii="Times New Roman" w:hAnsi="Times New Roman"/>
          <w:sz w:val="24"/>
          <w:szCs w:val="24"/>
        </w:rPr>
      </w:pPr>
    </w:p>
    <w:p w:rsidR="002D0399" w:rsidRDefault="002D0399" w:rsidP="001F5FA8">
      <w:pPr>
        <w:spacing w:before="120" w:after="120" w:line="240" w:lineRule="auto"/>
        <w:jc w:val="both"/>
        <w:rPr>
          <w:rFonts w:ascii="Times New Roman" w:hAnsi="Times New Roman"/>
          <w:sz w:val="24"/>
          <w:szCs w:val="24"/>
        </w:rPr>
      </w:pPr>
    </w:p>
    <w:p w:rsidR="001F5FA8" w:rsidRPr="00D6441B" w:rsidRDefault="001F5FA8" w:rsidP="009542FF">
      <w:pPr>
        <w:pStyle w:val="ListParagraph"/>
        <w:numPr>
          <w:ilvl w:val="0"/>
          <w:numId w:val="9"/>
        </w:numPr>
        <w:spacing w:before="120" w:after="120"/>
        <w:ind w:left="0" w:firstLine="0"/>
        <w:contextualSpacing/>
        <w:jc w:val="both"/>
        <w:rPr>
          <w:b/>
        </w:rPr>
      </w:pPr>
      <w:r w:rsidRPr="00D6441B">
        <w:rPr>
          <w:b/>
        </w:rPr>
        <w:lastRenderedPageBreak/>
        <w:t>SONUÇLAR</w:t>
      </w:r>
    </w:p>
    <w:p w:rsidR="002D0399" w:rsidRDefault="002D0399"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Türkiye’deki eczanelerden kaynaklanan başlıca atık grupları raf ömrü dolmuş ilaçlar ve ilaç hazırlanmasında kullanılan boş şişeler olarak bilinmektedir. Bu atıklar ile ilgili olarak ülkemizde özel bir atık yönetim planı ve yönetmeliği henüz bulunmamaktadır.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Bu atıklar </w:t>
      </w:r>
      <w:r w:rsidRPr="00D6441B">
        <w:rPr>
          <w:rFonts w:ascii="Times New Roman" w:hAnsi="Times New Roman"/>
          <w:bCs/>
          <w:sz w:val="24"/>
          <w:szCs w:val="24"/>
        </w:rPr>
        <w:t xml:space="preserve">eczane ve hastane gibi yönetmelik kapsamındaki kurum/ kuruluşların yanı sıra, ilaç fabrikaları, sağlık müdürlükleri ve gümrük gibi yönetmelik kapsamı dışındaki farklı yerlerde bulunan ilaç ve ilaç hammaddelerinin de imha edilmesi gerektiği durumlarda 14.03.2005 tarih ve 25755 sayılı Resmi Gazetede yayımlanarak yürürlüğe giren Tehlikeli Atıkların Kontrolü Yönetmeliği'nin "EK-7 Tehlikeli Atık Listesi", ve 05.07.2008 tarih ve 26927 sayılı Resmi Gazetede yayımlanarak yürürlüğe giren </w:t>
      </w:r>
      <w:r w:rsidRPr="00D6441B">
        <w:rPr>
          <w:rFonts w:ascii="Times New Roman" w:hAnsi="Times New Roman"/>
          <w:sz w:val="24"/>
          <w:szCs w:val="24"/>
        </w:rPr>
        <w:t>Atık Yönetimi Genel Esaslarına İlişkin Yönetmeliğinin</w:t>
      </w:r>
      <w:r w:rsidRPr="00D6441B">
        <w:rPr>
          <w:rFonts w:ascii="Times New Roman" w:hAnsi="Times New Roman"/>
          <w:bCs/>
          <w:sz w:val="24"/>
          <w:szCs w:val="24"/>
        </w:rPr>
        <w:t xml:space="preserve"> EK-4 Atık Listesi "(07) Organik Kimyasal İşlemlerden Kaynaklanan Atıklar", "07 05 İlaçlarının İmalat, Formülasyon, Tedarik ve Kullanımında (İFTK) Kaynaklanan Atıklar" başlığı altında değerlendirmekte ve tehlikeli atık olarak kabul edilmektedir.</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Eczacıların tabii bulunduğu yönetmelikler kapsamında, faaliyetleri sonucu tıbbi atık üretebilecekleri uygulamalarda bulunmamalarından dolayı tıbbi atık adı altında bir atık türü oluşmamaktadır. Fakat yerel kurumların kendilerine uyguladıkları tıbbı atık hizmetinin zorunlu kılınmasından dolayı ilaç atıkları eczacılar tarafında tıbbi atık olarak değerlendirilmektedir. Bunun haricinde evsel atıklar ile karıştırıp düzensiz depolama sahalarına ulaşmakta, lavabolara dökülerek kanalizasyona karışmakta ya da kontrolsüz bir şekilde yakılarak uzaklaştırılmaktadır. Bu duruma örnek olacak şekilde, Ankara’da 193 eczanede yapılan bir değerlendirmede oluşan bu atık gruplarının eczacılar tarafından hangi yöntemler ile uzaklaştırılmaya çalışıldığı aşağıdaki tablo 1’de gösterilmektedir.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Avrupa’daki eczane atıklarının yönetimi incelendiğinde Fransa, Almanya, İngiltere, İtalya, İspanya, Belçika, Norveç, Yunanistan, </w:t>
      </w:r>
      <w:r w:rsidRPr="00D6441B">
        <w:rPr>
          <w:rFonts w:ascii="Times New Roman" w:hAnsi="Times New Roman"/>
          <w:sz w:val="24"/>
          <w:szCs w:val="24"/>
        </w:rPr>
        <w:lastRenderedPageBreak/>
        <w:t>Portekiz, Polonya, Macaristan gibi ülkelerde farmasötik atık yönetimi yerel/bölgesel/ulusal yetkililerle veya farmasotik/ dağıtımcı şirketler/ atık yönetimi şirketleri ile belirli düzeylerde ortak bir hizmet olarak yürütülmektedir. Alman eczaneleri sağlık atıklarını toplamayı hastalarına bir hizmet olarak sunmakta ve ilaç endüstrisi bazı atık şirketleriyle işbirliği içinde eczanelere ücretsiz olan atık toplama sistemlerini sağlanmaktadır. İtalya’da hastalarca getirilen miadı geçmiş ilaçlar ve eczanenin miadı geçmiş ilaçları farklı sistemler çerçevesinde toplandığı görülmektedir. Hastaların getirdiği ilaçlara ilişkin düzenlemeyi doğrudan belediyeler yapmakta ve eczacıların bu sürece katılımı minimal düzeyde tutulmaktadır. Atıkların toplanması için bir konteyner çoğunlukla eczanenin içinde ve bazen de dışında bulundurulmaktadır. Konteynerlar, sadece belediye görevlileri tarafından atıkları alarak imha bölgelerine götürmek için açılabilmektedir. Eczanelerin miadı geçmiş ilaçlara ilişkin düzenlemesi ise, eczacı örgütlerinin, toptancı ve endüstri birliklerinin sahibi olduğu bir şirket tarafından organize edilmektedir.</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Bu çalışma kapsamında yapılan uygulamalarda eczanelerin ilaç atıklarını tıbbi atık olarak değil, tehlikeli atık olarak değerlendirilmesi amaçlanmıştır.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Eski uygulamada eczacının bağlı bulunmuş olduğu ilçe sağlık grup başkanlıkları eczanelerde yaptığı kontroller ile birlikte raf ömrü dolmuş ilaçlarının tespitini gerçekleştirmektedir. İlaçlar içerisinden özellikle kırmızı ve yeşil reçeteye tabii olanlar, yerinde kırılıp lavaboya dökülerek uzaklaştırılmaya çalışılmıştır. Zaman zaman ise </w:t>
      </w:r>
      <w:r w:rsidRPr="00D6441B">
        <w:rPr>
          <w:rFonts w:ascii="Times New Roman" w:hAnsi="Times New Roman"/>
          <w:sz w:val="24"/>
          <w:szCs w:val="24"/>
        </w:rPr>
        <w:lastRenderedPageBreak/>
        <w:t xml:space="preserve">tespit edilen bu ilaç atıkları yine grup başkanlıkları tarafından tutanak ile teslim alınıp depolarında stoklanmıştır.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Bu çalışma kapsamında yapılan yeni uygulamada, ilçe sağlık grup başkanlıkları tarafından raf ömrü dolmuş ilaç atıklarının tespitleri yapılmış ve tutanak altına alınarak, eczacıya bu ürünlerin imhasını yaptırma yükümlüğü getirilmiştir. Eczacı, atık ilaçlarını ilgili yönetmelik yükümlülüklerini yerine getirmek kaydı ile bertaraf tesisine getirmekte ve imha işlemini yaptırtmaktadır. Tamamlanan işlem sonrasında bertaraf tesisi yetkilileri tarafından ilgili İlçe Sağlık Grup Başkanlığı adına bertaraf tutanağı hazırlanıp işlem sonlandırılmaktadır. Bu işlemin yürüyüşü aşağıdaki şekilde özetlenmiştir.</w:t>
      </w:r>
    </w:p>
    <w:p w:rsidR="009542FF" w:rsidRDefault="009542FF" w:rsidP="001F5FA8">
      <w:pPr>
        <w:spacing w:before="120" w:after="120" w:line="240" w:lineRule="auto"/>
        <w:jc w:val="both"/>
        <w:rPr>
          <w:rFonts w:ascii="Times New Roman" w:hAnsi="Times New Roman"/>
          <w:sz w:val="24"/>
          <w:szCs w:val="24"/>
        </w:rPr>
      </w:pPr>
    </w:p>
    <w:p w:rsidR="00002611" w:rsidRPr="00D6441B" w:rsidRDefault="00002611" w:rsidP="00002611">
      <w:pPr>
        <w:spacing w:before="120" w:after="120" w:line="240" w:lineRule="auto"/>
        <w:jc w:val="both"/>
        <w:rPr>
          <w:rFonts w:ascii="Times New Roman" w:hAnsi="Times New Roman"/>
          <w:sz w:val="24"/>
          <w:szCs w:val="24"/>
        </w:rPr>
      </w:pPr>
      <w:r w:rsidRPr="00D6441B">
        <w:rPr>
          <w:rFonts w:ascii="Times New Roman" w:hAnsi="Times New Roman"/>
          <w:b/>
          <w:bCs/>
          <w:sz w:val="24"/>
          <w:szCs w:val="24"/>
        </w:rPr>
        <w:t xml:space="preserve">Tablo 1. </w:t>
      </w:r>
      <w:r w:rsidRPr="00D6441B">
        <w:rPr>
          <w:rFonts w:ascii="Times New Roman" w:hAnsi="Times New Roman"/>
          <w:sz w:val="24"/>
          <w:szCs w:val="24"/>
        </w:rPr>
        <w:t>Eczacıların, son kullanma tarihi geçmiş olan ilaçlar ile ilgili yaptığı uygulamalar</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249"/>
        <w:gridCol w:w="1294"/>
      </w:tblGrid>
      <w:tr w:rsidR="00002611" w:rsidRPr="00D6441B" w:rsidTr="00626CE3">
        <w:trPr>
          <w:trHeight w:val="20"/>
          <w:jc w:val="center"/>
        </w:trPr>
        <w:tc>
          <w:tcPr>
            <w:tcW w:w="4852" w:type="dxa"/>
          </w:tcPr>
          <w:p w:rsidR="00002611" w:rsidRPr="00D6441B" w:rsidRDefault="00002611" w:rsidP="00626CE3">
            <w:pPr>
              <w:spacing w:after="0" w:line="240" w:lineRule="auto"/>
              <w:jc w:val="both"/>
              <w:rPr>
                <w:rFonts w:ascii="Times New Roman" w:hAnsi="Times New Roman"/>
                <w:b/>
                <w:sz w:val="24"/>
                <w:szCs w:val="24"/>
              </w:rPr>
            </w:pPr>
            <w:r w:rsidRPr="00D6441B">
              <w:rPr>
                <w:rFonts w:ascii="Times New Roman" w:hAnsi="Times New Roman"/>
                <w:b/>
                <w:sz w:val="24"/>
                <w:szCs w:val="24"/>
              </w:rPr>
              <w:t>Yapılan Uygulama</w:t>
            </w:r>
          </w:p>
        </w:tc>
        <w:tc>
          <w:tcPr>
            <w:tcW w:w="2139" w:type="dxa"/>
          </w:tcPr>
          <w:p w:rsidR="00002611" w:rsidRPr="00D6441B" w:rsidRDefault="00002611" w:rsidP="00626CE3">
            <w:pPr>
              <w:spacing w:after="0" w:line="240" w:lineRule="auto"/>
              <w:jc w:val="both"/>
              <w:rPr>
                <w:rFonts w:ascii="Times New Roman" w:hAnsi="Times New Roman"/>
                <w:b/>
                <w:sz w:val="24"/>
                <w:szCs w:val="24"/>
              </w:rPr>
            </w:pPr>
            <w:r w:rsidRPr="00D6441B">
              <w:rPr>
                <w:rFonts w:ascii="Times New Roman" w:hAnsi="Times New Roman"/>
                <w:b/>
                <w:sz w:val="24"/>
                <w:szCs w:val="24"/>
              </w:rPr>
              <w:t>Eczane Sayısı</w:t>
            </w:r>
          </w:p>
        </w:tc>
        <w:tc>
          <w:tcPr>
            <w:tcW w:w="2081" w:type="dxa"/>
          </w:tcPr>
          <w:p w:rsidR="00002611" w:rsidRPr="00D6441B" w:rsidRDefault="00002611" w:rsidP="00626CE3">
            <w:pPr>
              <w:spacing w:after="0" w:line="240" w:lineRule="auto"/>
              <w:jc w:val="both"/>
              <w:rPr>
                <w:rFonts w:ascii="Times New Roman" w:hAnsi="Times New Roman"/>
                <w:b/>
                <w:sz w:val="24"/>
                <w:szCs w:val="24"/>
              </w:rPr>
            </w:pPr>
            <w:r w:rsidRPr="00D6441B">
              <w:rPr>
                <w:rFonts w:ascii="Times New Roman" w:hAnsi="Times New Roman"/>
                <w:b/>
                <w:sz w:val="24"/>
                <w:szCs w:val="24"/>
              </w:rPr>
              <w:t>Yüzde Dağılım</w:t>
            </w:r>
          </w:p>
        </w:tc>
      </w:tr>
      <w:tr w:rsidR="00002611" w:rsidRPr="00D6441B" w:rsidTr="00626CE3">
        <w:trPr>
          <w:trHeight w:val="20"/>
          <w:jc w:val="center"/>
        </w:trPr>
        <w:tc>
          <w:tcPr>
            <w:tcW w:w="4852"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Diğer atıkların (evsel) içine atmak</w:t>
            </w:r>
          </w:p>
        </w:tc>
        <w:tc>
          <w:tcPr>
            <w:tcW w:w="2139"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28</w:t>
            </w:r>
          </w:p>
        </w:tc>
        <w:tc>
          <w:tcPr>
            <w:tcW w:w="2081"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 14.5</w:t>
            </w:r>
          </w:p>
        </w:tc>
      </w:tr>
      <w:tr w:rsidR="00002611" w:rsidRPr="00D6441B" w:rsidTr="00626CE3">
        <w:trPr>
          <w:trHeight w:val="20"/>
          <w:jc w:val="center"/>
        </w:trPr>
        <w:tc>
          <w:tcPr>
            <w:tcW w:w="4852"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Ayrı bir konteyner kullanmak</w:t>
            </w:r>
          </w:p>
        </w:tc>
        <w:tc>
          <w:tcPr>
            <w:tcW w:w="2139"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40</w:t>
            </w:r>
          </w:p>
        </w:tc>
        <w:tc>
          <w:tcPr>
            <w:tcW w:w="2081"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 20.7</w:t>
            </w:r>
          </w:p>
        </w:tc>
      </w:tr>
      <w:tr w:rsidR="00002611" w:rsidRPr="00D6441B" w:rsidTr="00626CE3">
        <w:trPr>
          <w:trHeight w:val="20"/>
          <w:jc w:val="center"/>
        </w:trPr>
        <w:tc>
          <w:tcPr>
            <w:tcW w:w="4852"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İlaç şişeleri içindeki ilaçları tuvalete-lavaboya döktükten sonra diğer atıklarla atmak</w:t>
            </w:r>
          </w:p>
        </w:tc>
        <w:tc>
          <w:tcPr>
            <w:tcW w:w="2139"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116</w:t>
            </w:r>
          </w:p>
        </w:tc>
        <w:tc>
          <w:tcPr>
            <w:tcW w:w="2081"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 60.1</w:t>
            </w:r>
          </w:p>
        </w:tc>
      </w:tr>
      <w:tr w:rsidR="00002611" w:rsidRPr="00D6441B" w:rsidTr="00626CE3">
        <w:trPr>
          <w:trHeight w:val="20"/>
          <w:jc w:val="center"/>
        </w:trPr>
        <w:tc>
          <w:tcPr>
            <w:tcW w:w="4852"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Tıbbi atık poşetine koymak</w:t>
            </w:r>
          </w:p>
        </w:tc>
        <w:tc>
          <w:tcPr>
            <w:tcW w:w="2139"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2</w:t>
            </w:r>
          </w:p>
        </w:tc>
        <w:tc>
          <w:tcPr>
            <w:tcW w:w="2081"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 1</w:t>
            </w:r>
          </w:p>
        </w:tc>
      </w:tr>
      <w:tr w:rsidR="00002611" w:rsidRPr="00D6441B" w:rsidTr="00626CE3">
        <w:trPr>
          <w:trHeight w:val="20"/>
          <w:jc w:val="center"/>
        </w:trPr>
        <w:tc>
          <w:tcPr>
            <w:tcW w:w="4852"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Yakmak</w:t>
            </w:r>
          </w:p>
        </w:tc>
        <w:tc>
          <w:tcPr>
            <w:tcW w:w="2139"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6</w:t>
            </w:r>
          </w:p>
        </w:tc>
        <w:tc>
          <w:tcPr>
            <w:tcW w:w="2081"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 3.1</w:t>
            </w:r>
          </w:p>
        </w:tc>
      </w:tr>
      <w:tr w:rsidR="00002611" w:rsidRPr="00D6441B" w:rsidTr="00626CE3">
        <w:trPr>
          <w:trHeight w:val="20"/>
          <w:jc w:val="center"/>
        </w:trPr>
        <w:tc>
          <w:tcPr>
            <w:tcW w:w="4852"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Toprağa gömmek</w:t>
            </w:r>
          </w:p>
        </w:tc>
        <w:tc>
          <w:tcPr>
            <w:tcW w:w="2139"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1</w:t>
            </w:r>
          </w:p>
        </w:tc>
        <w:tc>
          <w:tcPr>
            <w:tcW w:w="2081" w:type="dxa"/>
          </w:tcPr>
          <w:p w:rsidR="00002611" w:rsidRPr="00D6441B" w:rsidRDefault="00002611" w:rsidP="00626CE3">
            <w:pPr>
              <w:spacing w:after="0" w:line="240" w:lineRule="auto"/>
              <w:jc w:val="both"/>
              <w:rPr>
                <w:rFonts w:ascii="Times New Roman" w:hAnsi="Times New Roman"/>
                <w:sz w:val="24"/>
                <w:szCs w:val="24"/>
              </w:rPr>
            </w:pPr>
            <w:r w:rsidRPr="00D6441B">
              <w:rPr>
                <w:rFonts w:ascii="Times New Roman" w:hAnsi="Times New Roman"/>
                <w:sz w:val="24"/>
                <w:szCs w:val="24"/>
              </w:rPr>
              <w:t>% 0.5</w:t>
            </w:r>
          </w:p>
        </w:tc>
      </w:tr>
    </w:tbl>
    <w:p w:rsidR="00002611" w:rsidRPr="00D6441B" w:rsidRDefault="00002611" w:rsidP="00002611">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       (Kaynak: Özçelikay, 2002)</w:t>
      </w:r>
    </w:p>
    <w:p w:rsidR="00002611" w:rsidRDefault="00002611" w:rsidP="001F5FA8">
      <w:pPr>
        <w:spacing w:before="120" w:after="120" w:line="240" w:lineRule="auto"/>
        <w:jc w:val="both"/>
        <w:rPr>
          <w:rFonts w:ascii="Times New Roman" w:hAnsi="Times New Roman"/>
          <w:sz w:val="24"/>
          <w:szCs w:val="24"/>
        </w:rPr>
        <w:sectPr w:rsidR="00002611" w:rsidSect="00E230BE">
          <w:type w:val="continuous"/>
          <w:pgSz w:w="11906" w:h="16838"/>
          <w:pgMar w:top="1417" w:right="849" w:bottom="1417" w:left="1134" w:header="708" w:footer="340" w:gutter="0"/>
          <w:cols w:num="2" w:space="708"/>
          <w:docGrid w:linePitch="360"/>
        </w:sectPr>
      </w:pPr>
    </w:p>
    <w:p w:rsidR="001F5FA8" w:rsidRPr="00D6441B" w:rsidRDefault="00D55BA2" w:rsidP="001F5FA8">
      <w:pPr>
        <w:spacing w:before="120" w:after="120" w:line="24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26" style="width:472.5pt;height:170.25pt;mso-position-horizontal-relative:char;mso-position-vertical-relative:line" coordorigin="1425,12225" coordsize="9450,3405">
            <v:shapetype id="_x0000_t202" coordsize="21600,21600" o:spt="202" path="m,l,21600r21600,l21600,xe">
              <v:stroke joinstyle="miter"/>
              <v:path gradientshapeok="t" o:connecttype="rect"/>
            </v:shapetype>
            <v:shape id="_x0000_s1027" type="#_x0000_t202" style="position:absolute;left:1425;top:12225;width:2160;height:1395">
              <v:shadow on="t" type="perspective" opacity=".5" origin="-.5,-.5" offset="-6pt,-6pt" matrix=".75,,,.75"/>
              <v:textbox style="mso-next-textbox:#_x0000_s1027">
                <w:txbxContent>
                  <w:p w:rsidR="00D55BA2" w:rsidRDefault="00D55BA2" w:rsidP="001F5FA8">
                    <w:pPr>
                      <w:jc w:val="center"/>
                    </w:pPr>
                    <w:r>
                      <w:t>Raf ömrü dolmuş İlaçların listesinin oluşturulması</w:t>
                    </w:r>
                  </w:p>
                </w:txbxContent>
              </v:textbox>
            </v:shape>
            <v:shape id="_x0000_s1028" type="#_x0000_t202" style="position:absolute;left:3975;top:12225;width:3420;height:1395">
              <v:shadow on="t" type="perspective" opacity=".5" origin="-.5,-.5" offset="-6pt,-6pt" matrix=".75,,,.75"/>
              <v:textbox style="mso-next-textbox:#_x0000_s1028">
                <w:txbxContent>
                  <w:p w:rsidR="00D55BA2" w:rsidRDefault="00D55BA2" w:rsidP="001F5FA8">
                    <w:pPr>
                      <w:jc w:val="center"/>
                    </w:pPr>
                    <w:r>
                      <w:t>Sağlık Grup Başkanlığı tarafında oluşturulan liste ile ilaçların kontrolünün yapılıp tespit tutanağının hazırlanması</w:t>
                    </w:r>
                  </w:p>
                </w:txbxContent>
              </v:textbox>
            </v:shape>
            <v:shape id="_x0000_s1029" type="#_x0000_t202" style="position:absolute;left:7770;top:12225;width:2790;height:1395">
              <v:shadow on="t" type="perspective" opacity=".5" origin="-.5,-.5" offset="-6pt,-6pt" matrix=".75,,,.75"/>
              <v:textbox style="mso-next-textbox:#_x0000_s1029">
                <w:txbxContent>
                  <w:p w:rsidR="00D55BA2" w:rsidRDefault="00D55BA2" w:rsidP="001F5FA8">
                    <w:pPr>
                      <w:jc w:val="center"/>
                    </w:pPr>
                    <w:r>
                      <w:t>Raf ömrü dolmuş ilaçların ambalaj türlerine göre ayrılıp sevkiyat öncesi kolilenmesi</w:t>
                    </w:r>
                  </w:p>
                </w:txbxContent>
              </v:textbox>
            </v:shape>
            <v:shape id="_x0000_s1030" type="#_x0000_t202" style="position:absolute;left:1425;top:14475;width:4380;height:1155">
              <v:shadow on="t" type="perspective" opacity=".5" origin="-.5,-.5" offset="-6pt,-6pt" matrix=".75,,,.75"/>
              <v:textbox style="mso-next-textbox:#_x0000_s1030">
                <w:txbxContent>
                  <w:p w:rsidR="00D55BA2" w:rsidRDefault="00D55BA2" w:rsidP="001F5FA8">
                    <w:pPr>
                      <w:jc w:val="center"/>
                    </w:pPr>
                    <w:r>
                      <w:t xml:space="preserve">Gönderime hazır olan ilaç atıklarının ilgili mevzuat gereklilikleri sağlanarak bertaraf tesisine teslim edilmesi </w:t>
                    </w:r>
                  </w:p>
                </w:txbxContent>
              </v:textbox>
            </v:shape>
            <v:shape id="_x0000_s1031" type="#_x0000_t202" style="position:absolute;left:6045;top:14475;width:4410;height:1155">
              <v:shadow on="t" type="perspective" opacity=".5" origin="-.5,-.5" offset="-6pt,-6pt" matrix=".75,,,.75"/>
              <v:textbox style="mso-next-textbox:#_x0000_s1031">
                <w:txbxContent>
                  <w:p w:rsidR="00D55BA2" w:rsidRDefault="00D55BA2" w:rsidP="001F5FA8">
                    <w:pPr>
                      <w:jc w:val="center"/>
                    </w:pPr>
                    <w:r>
                      <w:t>Bertaraf tesis tarafından teslim alınan atık ilaçların imha işleminin yapılıp ilgili bertaraf tutanağının hazırlanması</w:t>
                    </w:r>
                  </w:p>
                </w:txbxContent>
              </v:textbox>
            </v:shape>
            <v:shapetype id="_x0000_t32" coordsize="21600,21600" o:spt="32" o:oned="t" path="m,l21600,21600e" filled="f">
              <v:path arrowok="t" fillok="f" o:connecttype="none"/>
              <o:lock v:ext="edit" shapetype="t"/>
            </v:shapetype>
            <v:shape id="_x0000_s1032" type="#_x0000_t32" style="position:absolute;left:3585;top:12885;width:390;height:0" o:connectortype="straight">
              <v:stroke endarrow="block"/>
            </v:shape>
            <v:shape id="_x0000_s1033" type="#_x0000_t32" style="position:absolute;left:7395;top:12885;width:390;height:0" o:connectortype="straight">
              <v:stroke endarrow="block"/>
            </v:shape>
            <v:shape id="_x0000_s1034" type="#_x0000_t32" style="position:absolute;left:10560;top:12990;width:315;height:1" o:connectortype="straight"/>
            <v:shape id="_x0000_s1035" type="#_x0000_t32" style="position:absolute;left:10875;top:12990;width:0;height:1230" o:connectortype="straight"/>
            <v:shape id="_x0000_s1036" type="#_x0000_t32" style="position:absolute;left:3795;top:14235;width:7066;height:1" o:connectortype="straight"/>
            <v:shape id="_x0000_s1037" type="#_x0000_t32" style="position:absolute;left:3795;top:14235;width:0;height:240" o:connectortype="straight">
              <v:stroke endarrow="block"/>
            </v:shape>
            <v:shape id="_x0000_s1038" type="#_x0000_t32" style="position:absolute;left:5805;top:15045;width:240;height:1" o:connectortype="straight">
              <v:stroke endarrow="block"/>
            </v:shape>
            <w10:wrap type="none"/>
            <w10:anchorlock/>
          </v:group>
        </w:pict>
      </w:r>
    </w:p>
    <w:p w:rsidR="001F5FA8" w:rsidRPr="00D6441B" w:rsidRDefault="001F5FA8" w:rsidP="001F5FA8">
      <w:pPr>
        <w:spacing w:before="120" w:after="120" w:line="240" w:lineRule="auto"/>
        <w:jc w:val="center"/>
        <w:rPr>
          <w:rFonts w:ascii="Times New Roman" w:hAnsi="Times New Roman"/>
          <w:sz w:val="24"/>
          <w:szCs w:val="24"/>
        </w:rPr>
      </w:pPr>
      <w:r w:rsidRPr="00D6441B">
        <w:rPr>
          <w:rFonts w:ascii="Times New Roman" w:hAnsi="Times New Roman"/>
          <w:b/>
          <w:sz w:val="24"/>
          <w:szCs w:val="24"/>
        </w:rPr>
        <w:t>Şekil 1.</w:t>
      </w:r>
      <w:r w:rsidRPr="00D6441B">
        <w:rPr>
          <w:rFonts w:ascii="Times New Roman" w:hAnsi="Times New Roman"/>
          <w:sz w:val="24"/>
          <w:szCs w:val="24"/>
        </w:rPr>
        <w:t xml:space="preserve"> Atık ilaç imha modeli</w:t>
      </w:r>
    </w:p>
    <w:p w:rsidR="009542FF" w:rsidRDefault="009542FF" w:rsidP="001F5FA8">
      <w:pPr>
        <w:tabs>
          <w:tab w:val="left" w:pos="1200"/>
        </w:tabs>
        <w:spacing w:before="120" w:after="120" w:line="240" w:lineRule="auto"/>
        <w:jc w:val="both"/>
        <w:rPr>
          <w:rFonts w:ascii="Times New Roman" w:hAnsi="Times New Roman"/>
          <w:sz w:val="24"/>
          <w:szCs w:val="24"/>
        </w:rPr>
        <w:sectPr w:rsidR="009542FF" w:rsidSect="00E230BE">
          <w:type w:val="continuous"/>
          <w:pgSz w:w="11906" w:h="16838"/>
          <w:pgMar w:top="1417" w:right="849" w:bottom="1417" w:left="1134" w:header="708" w:footer="340" w:gutter="0"/>
          <w:cols w:space="708"/>
          <w:docGrid w:linePitch="360"/>
        </w:sectPr>
      </w:pPr>
    </w:p>
    <w:p w:rsidR="00002611" w:rsidRDefault="00002611" w:rsidP="001F5FA8">
      <w:pPr>
        <w:tabs>
          <w:tab w:val="left" w:pos="1200"/>
        </w:tabs>
        <w:spacing w:before="120" w:after="120" w:line="240" w:lineRule="auto"/>
        <w:jc w:val="both"/>
        <w:rPr>
          <w:rFonts w:ascii="Times New Roman" w:hAnsi="Times New Roman"/>
          <w:sz w:val="24"/>
          <w:szCs w:val="24"/>
        </w:rPr>
      </w:pPr>
    </w:p>
    <w:p w:rsidR="00002611" w:rsidRDefault="001F5FA8" w:rsidP="001F5FA8">
      <w:pPr>
        <w:tabs>
          <w:tab w:val="left" w:pos="1200"/>
        </w:tabs>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Şekil 1’den görüldüğü üzere eczacı, raf ömrü dolmuş ilaçların listesini ilaç adını ve miktarını belirterek oluştur. Oluşturulan liste ile ilaçlar eczanenin bağlı bulunmuş olduğu Sağlık Grup Başkanlığı tarafında eşleştirilip tespit tutanağı hazırlanır. Resmi kurumlarca onaylanan listeler ile ilaçlar ambalaj türlerine göre sevkiyata hazır hale getirilir. Burada ilaçlar blisterli ambalaj, şişeli ambalaj gibi ambalaj türlerine göre ayrı bir paketlenme işlemine tabi tutulur. Son aşama olarak ilaçlar ilgili mevzuatlar çerçevesinde belirtilen hususlara uyularak bertaraf tesisine teslim edilir. Atık ilaçların listeler ile birlikte teslim alan bertaraf tesisi ilaç imha işlemini </w:t>
      </w:r>
    </w:p>
    <w:p w:rsidR="00002611" w:rsidRDefault="00002611" w:rsidP="001F5FA8">
      <w:pPr>
        <w:tabs>
          <w:tab w:val="left" w:pos="1200"/>
        </w:tabs>
        <w:spacing w:before="120" w:after="120" w:line="240" w:lineRule="auto"/>
        <w:jc w:val="both"/>
        <w:rPr>
          <w:rFonts w:ascii="Times New Roman" w:hAnsi="Times New Roman"/>
          <w:sz w:val="24"/>
          <w:szCs w:val="24"/>
        </w:rPr>
      </w:pPr>
    </w:p>
    <w:p w:rsidR="00002611" w:rsidRDefault="00002611" w:rsidP="001F5FA8">
      <w:pPr>
        <w:tabs>
          <w:tab w:val="left" w:pos="1200"/>
        </w:tabs>
        <w:spacing w:before="120" w:after="120" w:line="240" w:lineRule="auto"/>
        <w:jc w:val="both"/>
        <w:rPr>
          <w:rFonts w:ascii="Times New Roman" w:hAnsi="Times New Roman"/>
          <w:sz w:val="24"/>
          <w:szCs w:val="24"/>
        </w:rPr>
      </w:pPr>
    </w:p>
    <w:p w:rsidR="001F5FA8" w:rsidRPr="00D6441B" w:rsidRDefault="001F5FA8" w:rsidP="001F5FA8">
      <w:pPr>
        <w:tabs>
          <w:tab w:val="left" w:pos="1200"/>
        </w:tabs>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gerçekleştirdikten sonra imha tutanağını hazırlar ve ilgili resmi kuruma ulaştırmak üzere eczacıya teslim eder.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Bu model çerçevesinde İstanbul sınırları içerisinde yapılan çalışmalar sonucunda, Çevre ve Orman Bakanlığı işletme lisansına sahip gazlaştırma teknolojisi ile atık bertarafının gerçekleştirildiği Ekolojik Enerji A.Ş. tesislerine son 3 senede 1191 adet eczanenin toplam 8,6 ton atığı kabul edilerek mevzuata uygun bir şekilde bertarafı gerçekleştirilmiştir. Yıllara göre ilaç atığı toplanan eczanelerin sayısı Şekil 2(a)’da, toplanan ilaç atığı miktarı Şekil 2(b)’de yer almaktadır.</w:t>
      </w:r>
    </w:p>
    <w:p w:rsidR="00002611" w:rsidRDefault="00002611" w:rsidP="001F5FA8">
      <w:pPr>
        <w:spacing w:before="120" w:after="120" w:line="240" w:lineRule="auto"/>
        <w:jc w:val="center"/>
        <w:rPr>
          <w:rFonts w:ascii="Times New Roman" w:hAnsi="Times New Roman"/>
          <w:noProof/>
          <w:sz w:val="24"/>
          <w:szCs w:val="24"/>
          <w:lang w:eastAsia="tr-TR"/>
        </w:rPr>
      </w:pPr>
    </w:p>
    <w:p w:rsidR="00002611" w:rsidRDefault="00002611" w:rsidP="001F5FA8">
      <w:pPr>
        <w:spacing w:before="120" w:after="120" w:line="240" w:lineRule="auto"/>
        <w:jc w:val="center"/>
        <w:rPr>
          <w:rFonts w:ascii="Times New Roman" w:hAnsi="Times New Roman"/>
          <w:noProof/>
          <w:sz w:val="24"/>
          <w:szCs w:val="24"/>
          <w:lang w:eastAsia="tr-TR"/>
        </w:rPr>
        <w:sectPr w:rsidR="00002611" w:rsidSect="009542FF">
          <w:type w:val="continuous"/>
          <w:pgSz w:w="11906" w:h="16838"/>
          <w:pgMar w:top="1417" w:right="849" w:bottom="1417" w:left="1134" w:header="708" w:footer="708" w:gutter="0"/>
          <w:cols w:num="2" w:space="708"/>
          <w:docGrid w:linePitch="360"/>
        </w:sectPr>
      </w:pPr>
    </w:p>
    <w:p w:rsidR="001F5FA8" w:rsidRDefault="001F5FA8" w:rsidP="001F5FA8">
      <w:pPr>
        <w:spacing w:before="120" w:after="120" w:line="240" w:lineRule="auto"/>
        <w:jc w:val="center"/>
        <w:rPr>
          <w:rFonts w:ascii="Times New Roman" w:hAnsi="Times New Roman"/>
          <w:noProof/>
          <w:sz w:val="24"/>
          <w:szCs w:val="24"/>
          <w:lang w:eastAsia="tr-TR"/>
        </w:rPr>
      </w:pPr>
      <w:r>
        <w:rPr>
          <w:rFonts w:ascii="Times New Roman" w:hAnsi="Times New Roman"/>
          <w:noProof/>
          <w:sz w:val="24"/>
          <w:szCs w:val="24"/>
          <w:lang w:val="en-AU" w:eastAsia="en-AU"/>
        </w:rPr>
        <w:lastRenderedPageBreak/>
        <w:drawing>
          <wp:inline distT="0" distB="0" distL="0" distR="0">
            <wp:extent cx="2828925" cy="1695450"/>
            <wp:effectExtent l="19050" t="0" r="9525" b="0"/>
            <wp:docPr id="1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2" cstate="print"/>
                    <a:srcRect/>
                    <a:stretch>
                      <a:fillRect/>
                    </a:stretch>
                  </pic:blipFill>
                  <pic:spPr bwMode="auto">
                    <a:xfrm>
                      <a:off x="0" y="0"/>
                      <a:ext cx="2828925" cy="1695450"/>
                    </a:xfrm>
                    <a:prstGeom prst="rect">
                      <a:avLst/>
                    </a:prstGeom>
                    <a:noFill/>
                    <a:ln w="9525">
                      <a:noFill/>
                      <a:miter lim="800000"/>
                      <a:headEnd/>
                      <a:tailEnd/>
                    </a:ln>
                  </pic:spPr>
                </pic:pic>
              </a:graphicData>
            </a:graphic>
          </wp:inline>
        </w:drawing>
      </w:r>
      <w:r>
        <w:rPr>
          <w:rFonts w:ascii="Times New Roman" w:hAnsi="Times New Roman"/>
          <w:noProof/>
          <w:sz w:val="24"/>
          <w:szCs w:val="24"/>
          <w:lang w:val="en-AU" w:eastAsia="en-AU"/>
        </w:rPr>
        <w:drawing>
          <wp:inline distT="0" distB="0" distL="0" distR="0">
            <wp:extent cx="2819400" cy="1685925"/>
            <wp:effectExtent l="19050" t="0" r="0" b="0"/>
            <wp:docPr id="13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43" cstate="print"/>
                    <a:srcRect/>
                    <a:stretch>
                      <a:fillRect/>
                    </a:stretch>
                  </pic:blipFill>
                  <pic:spPr bwMode="auto">
                    <a:xfrm>
                      <a:off x="0" y="0"/>
                      <a:ext cx="2819400" cy="1685925"/>
                    </a:xfrm>
                    <a:prstGeom prst="rect">
                      <a:avLst/>
                    </a:prstGeom>
                    <a:noFill/>
                    <a:ln w="9525">
                      <a:noFill/>
                      <a:miter lim="800000"/>
                      <a:headEnd/>
                      <a:tailEnd/>
                    </a:ln>
                  </pic:spPr>
                </pic:pic>
              </a:graphicData>
            </a:graphic>
          </wp:inline>
        </w:drawing>
      </w:r>
    </w:p>
    <w:p w:rsidR="001F5FA8" w:rsidRPr="00D6441B" w:rsidRDefault="001F5FA8" w:rsidP="001F5FA8">
      <w:pPr>
        <w:pStyle w:val="ListParagraph"/>
        <w:numPr>
          <w:ilvl w:val="0"/>
          <w:numId w:val="8"/>
        </w:numPr>
        <w:spacing w:before="120" w:after="120"/>
        <w:ind w:left="0" w:firstLine="0"/>
        <w:contextualSpacing/>
        <w:jc w:val="both"/>
        <w:rPr>
          <w:noProof/>
        </w:rPr>
      </w:pPr>
      <w:r w:rsidRPr="00D6441B">
        <w:rPr>
          <w:noProof/>
        </w:rPr>
        <w:t xml:space="preserve">                                 </w:t>
      </w:r>
      <w:r w:rsidRPr="00D6441B">
        <w:rPr>
          <w:noProof/>
        </w:rPr>
        <w:tab/>
      </w:r>
      <w:r w:rsidRPr="00D6441B">
        <w:rPr>
          <w:noProof/>
        </w:rPr>
        <w:tab/>
      </w:r>
      <w:r w:rsidRPr="00D6441B">
        <w:rPr>
          <w:noProof/>
        </w:rPr>
        <w:tab/>
      </w:r>
      <w:r w:rsidRPr="00D6441B">
        <w:rPr>
          <w:noProof/>
        </w:rPr>
        <w:tab/>
        <w:t xml:space="preserve">   (b)  </w:t>
      </w:r>
    </w:p>
    <w:p w:rsidR="001F5FA8" w:rsidRPr="00D6441B" w:rsidRDefault="001F5FA8" w:rsidP="001F5FA8">
      <w:pPr>
        <w:spacing w:before="120" w:after="120" w:line="240" w:lineRule="auto"/>
        <w:jc w:val="center"/>
        <w:rPr>
          <w:rFonts w:ascii="Times New Roman" w:hAnsi="Times New Roman"/>
          <w:sz w:val="24"/>
          <w:szCs w:val="24"/>
        </w:rPr>
      </w:pPr>
      <w:r w:rsidRPr="00D6441B">
        <w:rPr>
          <w:rFonts w:ascii="Times New Roman" w:hAnsi="Times New Roman"/>
          <w:b/>
          <w:sz w:val="24"/>
          <w:szCs w:val="24"/>
        </w:rPr>
        <w:t>Şekil 2.</w:t>
      </w:r>
      <w:r w:rsidRPr="00D6441B">
        <w:rPr>
          <w:rFonts w:ascii="Times New Roman" w:hAnsi="Times New Roman"/>
          <w:sz w:val="24"/>
          <w:szCs w:val="24"/>
        </w:rPr>
        <w:t xml:space="preserve"> Yıllara göre ilaç atığı toplanan eczanelerin sayısı (a) ve ilaç atığı miktarı (b)</w:t>
      </w:r>
    </w:p>
    <w:p w:rsidR="00002611" w:rsidRDefault="00002611" w:rsidP="001F5FA8">
      <w:pPr>
        <w:spacing w:before="120" w:after="120" w:line="240" w:lineRule="auto"/>
        <w:jc w:val="both"/>
        <w:rPr>
          <w:rFonts w:ascii="Times New Roman" w:hAnsi="Times New Roman"/>
          <w:sz w:val="24"/>
          <w:szCs w:val="24"/>
        </w:rPr>
        <w:sectPr w:rsidR="00002611" w:rsidSect="00002611">
          <w:type w:val="continuous"/>
          <w:pgSz w:w="11906" w:h="16838"/>
          <w:pgMar w:top="1417" w:right="849" w:bottom="1417" w:left="1134" w:header="708" w:footer="708" w:gutter="0"/>
          <w:cols w:space="708"/>
          <w:docGrid w:linePitch="360"/>
        </w:sectPr>
      </w:pPr>
    </w:p>
    <w:p w:rsidR="001F5FA8" w:rsidRDefault="001F5FA8" w:rsidP="001F5FA8">
      <w:pPr>
        <w:spacing w:before="120" w:after="120" w:line="240" w:lineRule="auto"/>
        <w:jc w:val="both"/>
        <w:rPr>
          <w:rFonts w:ascii="Times New Roman" w:hAnsi="Times New Roman"/>
          <w:sz w:val="24"/>
          <w:szCs w:val="24"/>
        </w:rPr>
      </w:pPr>
    </w:p>
    <w:p w:rsidR="00002611"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İstanbul İl Sağlık İlaç ve Ecza Şube Müdürlüğünde alınan veriler sonra İstanbul sınırları içerisinde faaliyet gösteren toplam 4650 adet eczane bulunmaktadır. Yapılan bu </w:t>
      </w:r>
    </w:p>
    <w:p w:rsidR="00002611" w:rsidRDefault="00002611"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uygulama ile 3 yıl içerisinde ancak 1191 adet eczaneye ulaşılmıştır. Ülkemizde çoğunlukla düzensiz depolama yolu ile stoklanan evsel atıklara tehlikeli atıkların karışması çok büyük </w:t>
      </w:r>
      <w:r w:rsidRPr="00D6441B">
        <w:rPr>
          <w:rFonts w:ascii="Times New Roman" w:hAnsi="Times New Roman"/>
          <w:sz w:val="24"/>
          <w:szCs w:val="24"/>
        </w:rPr>
        <w:lastRenderedPageBreak/>
        <w:t xml:space="preserve">riskler oluşturmaktadır. Sonuç itibariyle oluşturulan mevcut sistem ile 3 yıl içerisinde 8,6 ton eczanelerden oluşan raf ömrü dolmuş ilaç atığının evsel çöpe karışması engellenmiştir. Halihazırda yalnızca İstanbul için yapılan bu çalışma, Türkiye bütününde kısa süre içerisinde gerçekleştirilmelidir.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Uygulamanın hazırlanacak olan bir veri tabanı programı ile desteklenerek imha edilen ilaçların üretici firması, türleri ve miktarları ile ilgili veriler kayıt altına alınabilinir. Böylece elde edilen veriler ile belirlenen ilaçların üretim programları yeniden gözden geçirilebilinir. Ayrıca eczacılar için bir yük getiren bu uygulamada ilacın esas üreticisi olan ilaç firmaları beşikten mezara prensibi ile ürettikleri ürünün sorumluluğu paylamaları sağlanabilecektir. Sürecin bu çerçevede yürütülmesine paralel olarak eczanelerin atık yönetimi konusunda eğitim programlarına dahil edilmesi önerilmektedir. </w:t>
      </w: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lastRenderedPageBreak/>
        <w:t>TEŞEKKÜR</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Bu çalışama da Ekolojik Enerji A.Ş. İcra Kurulu Başkanı Ömer Salman’a, şirket çalışanlarına, İstanbul İlaç ve Eczacılık Şubesi Sağlık Müdür Yardımcısı Hüseyin Yılmaz’a, Şube Müdürü Deniz Özler Kıral’a değerli katkılarından ötürü teşekkür ederim.</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KAYNAKLAR</w:t>
      </w:r>
    </w:p>
    <w:p w:rsidR="001F5FA8" w:rsidRPr="00D6441B" w:rsidRDefault="001F5FA8" w:rsidP="001F5FA8">
      <w:pPr>
        <w:autoSpaceDE w:val="0"/>
        <w:autoSpaceDN w:val="0"/>
        <w:adjustRightInd w:val="0"/>
        <w:spacing w:before="120" w:after="120" w:line="240" w:lineRule="auto"/>
        <w:jc w:val="both"/>
        <w:rPr>
          <w:rFonts w:ascii="Times New Roman" w:hAnsi="Times New Roman"/>
          <w:bCs/>
          <w:sz w:val="24"/>
          <w:szCs w:val="24"/>
        </w:rPr>
      </w:pPr>
    </w:p>
    <w:p w:rsidR="001F5FA8" w:rsidRPr="00D6441B" w:rsidRDefault="001F5FA8" w:rsidP="00002611">
      <w:pPr>
        <w:spacing w:before="120" w:after="120" w:line="240" w:lineRule="auto"/>
        <w:ind w:left="567" w:hanging="567"/>
        <w:jc w:val="both"/>
        <w:rPr>
          <w:rFonts w:ascii="Times New Roman" w:hAnsi="Times New Roman"/>
          <w:bCs/>
          <w:sz w:val="24"/>
          <w:szCs w:val="24"/>
        </w:rPr>
      </w:pPr>
      <w:r w:rsidRPr="00D6441B">
        <w:rPr>
          <w:rFonts w:ascii="Times New Roman" w:hAnsi="Times New Roman"/>
          <w:bCs/>
          <w:sz w:val="24"/>
          <w:szCs w:val="24"/>
        </w:rPr>
        <w:t>Ekolojik Enerji A.Ş. Kabul Edilen Eczane Atıkları Verileri</w:t>
      </w:r>
    </w:p>
    <w:p w:rsidR="001F5FA8" w:rsidRPr="00D6441B" w:rsidRDefault="001F5FA8" w:rsidP="00002611">
      <w:pPr>
        <w:autoSpaceDE w:val="0"/>
        <w:autoSpaceDN w:val="0"/>
        <w:adjustRightInd w:val="0"/>
        <w:spacing w:before="120" w:after="120" w:line="240" w:lineRule="auto"/>
        <w:ind w:left="567" w:hanging="567"/>
        <w:jc w:val="both"/>
        <w:rPr>
          <w:rFonts w:ascii="Times New Roman" w:hAnsi="Times New Roman"/>
          <w:sz w:val="24"/>
          <w:szCs w:val="24"/>
        </w:rPr>
      </w:pPr>
      <w:r w:rsidRPr="00D6441B">
        <w:rPr>
          <w:rFonts w:ascii="Times New Roman" w:hAnsi="Times New Roman"/>
          <w:bCs/>
          <w:sz w:val="24"/>
          <w:szCs w:val="24"/>
        </w:rPr>
        <w:t xml:space="preserve">Özçelikay, G., 2002. Serbest Eczane Atıkları Ve Yönetimi Üzerinde Bir Çalışma. </w:t>
      </w:r>
      <w:r w:rsidRPr="00D6441B">
        <w:rPr>
          <w:rFonts w:ascii="Times New Roman" w:hAnsi="Times New Roman"/>
          <w:sz w:val="24"/>
          <w:szCs w:val="24"/>
        </w:rPr>
        <w:t>Türk Hij Den Biyol Derg, Cilt 59, No 1,2,3, S: 13 - 20</w:t>
      </w:r>
    </w:p>
    <w:p w:rsidR="009542FF" w:rsidRDefault="009542FF">
      <w:pPr>
        <w:rPr>
          <w:rFonts w:ascii="Times New Roman" w:hAnsi="Times New Roman"/>
          <w:sz w:val="24"/>
          <w:szCs w:val="24"/>
          <w:lang w:eastAsia="tr-TR"/>
        </w:rPr>
        <w:sectPr w:rsidR="009542FF" w:rsidSect="00E230BE">
          <w:type w:val="continuous"/>
          <w:pgSz w:w="11906" w:h="16838"/>
          <w:pgMar w:top="1417" w:right="849" w:bottom="1417" w:left="1134" w:header="708" w:footer="340" w:gutter="0"/>
          <w:cols w:num="2" w:space="708"/>
          <w:docGrid w:linePitch="360"/>
        </w:sectPr>
      </w:pPr>
    </w:p>
    <w:p w:rsidR="001F5FA8" w:rsidRDefault="001F5FA8">
      <w:pPr>
        <w:rPr>
          <w:rFonts w:ascii="Times New Roman" w:hAnsi="Times New Roman"/>
          <w:sz w:val="24"/>
          <w:szCs w:val="24"/>
          <w:lang w:eastAsia="tr-TR"/>
        </w:rPr>
      </w:pPr>
      <w:r>
        <w:rPr>
          <w:rFonts w:ascii="Times New Roman" w:hAnsi="Times New Roman"/>
          <w:sz w:val="24"/>
          <w:szCs w:val="24"/>
          <w:lang w:eastAsia="tr-TR"/>
        </w:rPr>
        <w:lastRenderedPageBreak/>
        <w:br w:type="page"/>
      </w:r>
    </w:p>
    <w:p w:rsidR="001F5FA8" w:rsidRPr="00F95BBF" w:rsidRDefault="001F5FA8" w:rsidP="001F5FA8">
      <w:pPr>
        <w:widowControl w:val="0"/>
        <w:spacing w:before="120" w:after="120" w:line="240" w:lineRule="auto"/>
        <w:jc w:val="center"/>
        <w:rPr>
          <w:rFonts w:ascii="Times New Roman" w:hAnsi="Times New Roman"/>
          <w:b/>
          <w:sz w:val="32"/>
          <w:szCs w:val="24"/>
        </w:rPr>
      </w:pPr>
    </w:p>
    <w:p w:rsidR="001F5FA8" w:rsidRPr="00F95BBF" w:rsidRDefault="001F5FA8" w:rsidP="001F5FA8">
      <w:pPr>
        <w:widowControl w:val="0"/>
        <w:spacing w:before="120" w:after="120" w:line="240" w:lineRule="auto"/>
        <w:jc w:val="center"/>
        <w:rPr>
          <w:rFonts w:ascii="Times New Roman" w:hAnsi="Times New Roman"/>
          <w:b/>
          <w:sz w:val="32"/>
          <w:szCs w:val="24"/>
        </w:rPr>
      </w:pPr>
    </w:p>
    <w:p w:rsidR="001F5FA8" w:rsidRPr="00F95BBF" w:rsidRDefault="001F5FA8" w:rsidP="001F5FA8">
      <w:pPr>
        <w:widowControl w:val="0"/>
        <w:spacing w:before="120" w:after="120" w:line="240" w:lineRule="auto"/>
        <w:jc w:val="center"/>
        <w:rPr>
          <w:rFonts w:ascii="Times New Roman" w:hAnsi="Times New Roman"/>
          <w:b/>
          <w:sz w:val="32"/>
          <w:szCs w:val="24"/>
        </w:rPr>
      </w:pPr>
      <w:r w:rsidRPr="00F95BBF">
        <w:rPr>
          <w:rFonts w:ascii="Times New Roman" w:hAnsi="Times New Roman"/>
          <w:b/>
          <w:sz w:val="32"/>
          <w:szCs w:val="24"/>
        </w:rPr>
        <w:t>TAVUKÇULUK KATI ATIKLARININ TAVUK GÜBRESİNE İŞLENEREK ÇEVRE KİRLİLİĞİNİN AZALTILMASI</w:t>
      </w:r>
    </w:p>
    <w:p w:rsidR="001F5FA8" w:rsidRPr="00D6441B" w:rsidRDefault="001F5FA8" w:rsidP="001F5FA8">
      <w:pPr>
        <w:widowControl w:val="0"/>
        <w:spacing w:before="120" w:after="120" w:line="240" w:lineRule="auto"/>
        <w:jc w:val="both"/>
        <w:rPr>
          <w:rFonts w:ascii="Times New Roman" w:hAnsi="Times New Roman"/>
          <w:b/>
          <w:sz w:val="24"/>
          <w:szCs w:val="24"/>
        </w:rPr>
      </w:pP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b/>
          <w:sz w:val="24"/>
          <w:szCs w:val="24"/>
        </w:rPr>
        <w:t>Hasan Eleroğlu</w:t>
      </w:r>
      <w:r w:rsidRPr="00D6441B">
        <w:rPr>
          <w:rFonts w:ascii="Times New Roman" w:hAnsi="Times New Roman"/>
          <w:b/>
          <w:sz w:val="24"/>
          <w:szCs w:val="24"/>
          <w:vertAlign w:val="superscript"/>
        </w:rPr>
        <w:t>1</w:t>
      </w:r>
      <w:r w:rsidRPr="00D6441B">
        <w:rPr>
          <w:rFonts w:ascii="Times New Roman" w:hAnsi="Times New Roman"/>
          <w:b/>
          <w:sz w:val="24"/>
          <w:szCs w:val="24"/>
        </w:rPr>
        <w:t>, Arda Yıldırım</w:t>
      </w:r>
      <w:r w:rsidRPr="00D6441B">
        <w:rPr>
          <w:rFonts w:ascii="Times New Roman" w:hAnsi="Times New Roman"/>
          <w:b/>
          <w:sz w:val="24"/>
          <w:szCs w:val="24"/>
          <w:vertAlign w:val="superscript"/>
        </w:rPr>
        <w:t>2</w:t>
      </w:r>
    </w:p>
    <w:p w:rsidR="001F5FA8" w:rsidRPr="00D6441B" w:rsidRDefault="001F5FA8" w:rsidP="001F5FA8">
      <w:pPr>
        <w:widowControl w:val="0"/>
        <w:spacing w:after="0" w:line="240" w:lineRule="auto"/>
        <w:jc w:val="both"/>
        <w:rPr>
          <w:rFonts w:ascii="Times New Roman" w:hAnsi="Times New Roman"/>
          <w:sz w:val="24"/>
          <w:szCs w:val="24"/>
        </w:rPr>
      </w:pPr>
      <w:r w:rsidRPr="00D6441B">
        <w:rPr>
          <w:rFonts w:ascii="Times New Roman" w:hAnsi="Times New Roman"/>
          <w:sz w:val="24"/>
          <w:szCs w:val="24"/>
          <w:vertAlign w:val="superscript"/>
        </w:rPr>
        <w:t>1</w:t>
      </w:r>
      <w:r w:rsidRPr="00D6441B">
        <w:rPr>
          <w:rFonts w:ascii="Times New Roman" w:hAnsi="Times New Roman"/>
          <w:sz w:val="24"/>
          <w:szCs w:val="24"/>
        </w:rPr>
        <w:t xml:space="preserve">Cumhuriyet Üniversitesi, Şarkışla Aşık Veysel Meslek Yüksekokulu, 58400, Sivas </w:t>
      </w:r>
    </w:p>
    <w:p w:rsidR="001F5FA8" w:rsidRPr="00D6441B" w:rsidRDefault="001F5FA8" w:rsidP="001F5FA8">
      <w:pPr>
        <w:widowControl w:val="0"/>
        <w:spacing w:after="0" w:line="240" w:lineRule="auto"/>
        <w:jc w:val="both"/>
        <w:rPr>
          <w:rFonts w:ascii="Times New Roman" w:hAnsi="Times New Roman"/>
          <w:sz w:val="24"/>
          <w:szCs w:val="24"/>
        </w:rPr>
      </w:pPr>
      <w:r w:rsidRPr="00D6441B">
        <w:rPr>
          <w:rFonts w:ascii="Times New Roman" w:hAnsi="Times New Roman"/>
          <w:sz w:val="24"/>
          <w:szCs w:val="24"/>
          <w:vertAlign w:val="superscript"/>
        </w:rPr>
        <w:t>2</w:t>
      </w:r>
      <w:r w:rsidRPr="00D6441B">
        <w:rPr>
          <w:rFonts w:ascii="Times New Roman" w:hAnsi="Times New Roman"/>
          <w:sz w:val="24"/>
          <w:szCs w:val="24"/>
        </w:rPr>
        <w:t>Gaziosmanpaşa Üniversitesi, Ziraat Fakültesi, Zootekni Bölümü, 60240, Tokat</w:t>
      </w:r>
    </w:p>
    <w:p w:rsidR="001F5FA8" w:rsidRPr="00D6441B" w:rsidRDefault="001F5FA8" w:rsidP="001F5FA8">
      <w:pPr>
        <w:widowControl w:val="0"/>
        <w:spacing w:before="120" w:after="120" w:line="240" w:lineRule="auto"/>
        <w:jc w:val="both"/>
        <w:rPr>
          <w:rFonts w:ascii="Times New Roman" w:hAnsi="Times New Roman"/>
          <w:sz w:val="24"/>
          <w:szCs w:val="24"/>
        </w:rPr>
      </w:pPr>
    </w:p>
    <w:p w:rsidR="001F5FA8" w:rsidRPr="00D6441B" w:rsidRDefault="001F5FA8" w:rsidP="001F5FA8">
      <w:pPr>
        <w:widowControl w:val="0"/>
        <w:spacing w:before="120" w:after="120" w:line="240" w:lineRule="auto"/>
        <w:jc w:val="both"/>
        <w:rPr>
          <w:rFonts w:ascii="Times New Roman" w:hAnsi="Times New Roman"/>
          <w:b/>
          <w:caps/>
          <w:sz w:val="24"/>
          <w:szCs w:val="24"/>
        </w:rPr>
      </w:pPr>
      <w:r w:rsidRPr="00D6441B">
        <w:rPr>
          <w:rFonts w:ascii="Times New Roman" w:hAnsi="Times New Roman"/>
          <w:b/>
          <w:sz w:val="24"/>
          <w:szCs w:val="24"/>
        </w:rPr>
        <w:t>Özet</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Türkiye’de, 2009 TÜİK verilerine göre toplam kanatlı hayvan sayısının yaklaşık 230 milyon olduğu, bir tavuğun günde ortalama 140 – 160 g taze dışkı ürettiği ve açıkta bırakılan gübrenin çevreye vereceği zarar göz önüne alınırsa problemin boyutları ortaya çıkmaktadır. Bu nedenle sulu tavuk gübresinin çevreyi kirleten ve sağlık bozan bir konumdan çıkarılması bitkiye zarar riskinin azaltılarak organik gübreye dönüştürülmesi ve tarıma kazandırılması gerekmektedir.  Sivas koşullarında arpa üretiminde verim üzerine etkisini belirlemek amacıyla toplam 1000 dekar arazide 12 parsel üzerinde yürütülen çalışmada Bakteriyel Gübre, Leonardit, Tavuk Gübresi ve Kimyevi Gübre + Humik Asit uygulaması denemeye alınmış, verim (kg/dekar) ve bin tane (g) ağırlıklarına ilişkin veriler toplanmıştır. Araştırmada sertifikalı Tarm-92 arpa tohumu 22 kg/da olarak kullanılmıştır. Bakteriyel Gübre, Leonardit, Tavuk Gübresi ve Kimyevi Gübre + Humik Asit uygulamalarından elde edilen verim (kg/dekar) değerleri sırasıyla 197,10; 204,67; 284,93 ve 342,23 gerçekleşmiştir (P&lt;0.05). Bin tane (g) ağırlıkları ise sırasıyla 45,903; 46,507; 47,690 ve 46,370 (P&gt;0.05) olarak bulunmuştur. Kimyevi Gübre + Humik asit uygulamasından en yüksek verim elde edilmiş, bunu Tavuk Gübresi takip etmiştir. Bakteriyel gübre ve Leonardit uygulamaları arasında istatistikî bir farklılığa rastlanmamıştır. Sonuç olarak kimyevi gübrenin maliyeti ve toprak için kimi zaman zararlı etkileri, organik üretim için uyumsuzluğu gibi nedenlerden dolayı bu çalışmada, Sivas yöresinde arpa üretiminde uygulanan geleneksel kimyevi gübre uygulamasına alternatif olacak gübre uygulamaları üzerinde durulmuştur. Maliyet analizleri yöresel uygulamalara ve bölgeye göre değişeceğinden, elde edilen verim değerleri üzerinden hareket edildiğinde tavuk gübresinin geleneksel kimyevi gübre uygulamasına alternatif olabileceği sonucuna varılmıştır.</w:t>
      </w:r>
    </w:p>
    <w:p w:rsidR="001F5FA8" w:rsidRPr="00D6441B" w:rsidRDefault="001F5FA8" w:rsidP="001F5FA8">
      <w:pPr>
        <w:widowControl w:val="0"/>
        <w:spacing w:before="120" w:after="120" w:line="240" w:lineRule="auto"/>
        <w:jc w:val="both"/>
        <w:rPr>
          <w:rFonts w:ascii="Times New Roman" w:hAnsi="Times New Roman"/>
          <w:i/>
          <w:sz w:val="24"/>
          <w:szCs w:val="24"/>
        </w:rPr>
      </w:pPr>
      <w:r w:rsidRPr="00D6441B">
        <w:rPr>
          <w:rFonts w:ascii="Times New Roman" w:hAnsi="Times New Roman"/>
          <w:b/>
          <w:i/>
          <w:sz w:val="24"/>
          <w:szCs w:val="24"/>
        </w:rPr>
        <w:t>Anahtar Kelimeler:</w:t>
      </w:r>
      <w:r w:rsidRPr="00D6441B">
        <w:rPr>
          <w:rFonts w:ascii="Times New Roman" w:hAnsi="Times New Roman"/>
          <w:i/>
          <w:sz w:val="24"/>
          <w:szCs w:val="24"/>
        </w:rPr>
        <w:t xml:space="preserve"> Çevre, gübre, katı atık, organik üretim, tavuk</w:t>
      </w:r>
    </w:p>
    <w:p w:rsidR="001F5FA8" w:rsidRPr="00D6441B" w:rsidRDefault="001F5FA8" w:rsidP="001F5FA8">
      <w:pPr>
        <w:widowControl w:val="0"/>
        <w:spacing w:before="120" w:after="120" w:line="240" w:lineRule="auto"/>
        <w:jc w:val="both"/>
        <w:rPr>
          <w:rFonts w:ascii="Times New Roman" w:hAnsi="Times New Roman"/>
          <w:sz w:val="24"/>
          <w:szCs w:val="24"/>
        </w:rPr>
      </w:pPr>
    </w:p>
    <w:p w:rsidR="001F5FA8" w:rsidRPr="00F95BBF" w:rsidRDefault="001F5FA8" w:rsidP="001F5FA8">
      <w:pPr>
        <w:widowControl w:val="0"/>
        <w:spacing w:before="120" w:after="120" w:line="240" w:lineRule="auto"/>
        <w:jc w:val="both"/>
        <w:rPr>
          <w:rFonts w:ascii="Times New Roman" w:hAnsi="Times New Roman"/>
          <w:b/>
          <w:sz w:val="28"/>
          <w:szCs w:val="24"/>
        </w:rPr>
      </w:pPr>
      <w:r w:rsidRPr="00F95BBF">
        <w:rPr>
          <w:rFonts w:ascii="Times New Roman" w:hAnsi="Times New Roman"/>
          <w:b/>
          <w:sz w:val="28"/>
          <w:szCs w:val="24"/>
        </w:rPr>
        <w:t>PROCESSING OF POULTRY WASTE INTO CHICKEN FERTILIZERS TO REDUCE ENVIRONMENTAL POLLUTION</w:t>
      </w:r>
    </w:p>
    <w:p w:rsidR="001F5FA8" w:rsidRPr="00D6441B" w:rsidRDefault="001F5FA8" w:rsidP="001F5FA8">
      <w:pPr>
        <w:widowControl w:val="0"/>
        <w:spacing w:before="120" w:after="120" w:line="240" w:lineRule="auto"/>
        <w:jc w:val="both"/>
        <w:rPr>
          <w:rFonts w:ascii="Times New Roman" w:hAnsi="Times New Roman"/>
          <w:b/>
          <w:sz w:val="24"/>
          <w:szCs w:val="24"/>
        </w:rPr>
      </w:pPr>
    </w:p>
    <w:p w:rsidR="001F5FA8" w:rsidRPr="00D6441B" w:rsidRDefault="001F5FA8" w:rsidP="001F5FA8">
      <w:pPr>
        <w:widowControl w:val="0"/>
        <w:spacing w:before="120" w:after="120" w:line="240" w:lineRule="auto"/>
        <w:jc w:val="both"/>
        <w:rPr>
          <w:rFonts w:ascii="Times New Roman" w:hAnsi="Times New Roman"/>
          <w:b/>
          <w:caps/>
          <w:sz w:val="24"/>
          <w:szCs w:val="24"/>
          <w:lang w:val="en-US"/>
        </w:rPr>
      </w:pPr>
      <w:r w:rsidRPr="00D6441B">
        <w:rPr>
          <w:rFonts w:ascii="Times New Roman" w:hAnsi="Times New Roman"/>
          <w:b/>
          <w:sz w:val="24"/>
          <w:szCs w:val="24"/>
          <w:lang w:val="en-US"/>
        </w:rPr>
        <w:t>Abstract</w:t>
      </w:r>
    </w:p>
    <w:p w:rsidR="001F5FA8" w:rsidRPr="00D6441B" w:rsidRDefault="001F5FA8" w:rsidP="001F5FA8">
      <w:pPr>
        <w:widowControl w:val="0"/>
        <w:spacing w:before="120" w:after="120" w:line="240" w:lineRule="auto"/>
        <w:jc w:val="both"/>
        <w:rPr>
          <w:rFonts w:ascii="Times New Roman" w:hAnsi="Times New Roman"/>
          <w:sz w:val="24"/>
          <w:szCs w:val="24"/>
          <w:lang w:val="en-US"/>
        </w:rPr>
      </w:pPr>
      <w:r w:rsidRPr="00D6441B">
        <w:rPr>
          <w:rFonts w:ascii="Times New Roman" w:hAnsi="Times New Roman"/>
          <w:sz w:val="24"/>
          <w:szCs w:val="24"/>
          <w:lang w:val="en-US"/>
        </w:rPr>
        <w:t xml:space="preserve">According to data released by TUIK, Turkey had 230 million winged animals, in total, in 2009, and each of the animals produced on average 140 – 160 g fresh faeces which pose an immense threat to the environment if disposed untreated. Therefore fresh chicken faeces should be turned into organic fertilizer in order not to be harmful to the environment and to be used in the fields of agriculture.  To this end, chicken faeces, along with a bacterial fertilizer, Leonardit, and a chemical fertilizer plus humic acid, was used as fertilizer in 1000 decare barley fields, divided into 12 parcels in Sivas; and </w:t>
      </w:r>
      <w:r w:rsidRPr="00D6441B">
        <w:rPr>
          <w:rFonts w:ascii="Times New Roman" w:hAnsi="Times New Roman"/>
          <w:sz w:val="24"/>
          <w:szCs w:val="24"/>
          <w:lang w:val="en-US"/>
        </w:rPr>
        <w:lastRenderedPageBreak/>
        <w:t>yield (kg/decare) and seed weight (1000 seeds, g) determined were 197,10, 204,67, 284,93, and 342,23 kg/da, and seed weight values were 45,903, 46,507, 47,690, and 46,370 (P&gt;0.05), respectively.  As can be seen chemical fertilizer plus humic acid led to the highest yield, and this was followed by that of chicken faeces. In the study, certified Tarm-92 Barley seeds were used 22 kg/decare. The difference between the yields of Bacterial fertilizer and Leonardit was not found to be statistically significant. To conclude, considering the high cost and harmful effects of chemical fertilizers, chicken faeces could be a better alternative to be used for barley agriculture in Sivas.</w:t>
      </w:r>
    </w:p>
    <w:p w:rsidR="001F5FA8" w:rsidRPr="00D6441B" w:rsidRDefault="001F5FA8" w:rsidP="001F5FA8">
      <w:pPr>
        <w:widowControl w:val="0"/>
        <w:spacing w:before="120" w:after="120" w:line="240" w:lineRule="auto"/>
        <w:jc w:val="both"/>
        <w:rPr>
          <w:rFonts w:ascii="Times New Roman" w:hAnsi="Times New Roman"/>
          <w:i/>
          <w:sz w:val="24"/>
          <w:szCs w:val="24"/>
          <w:lang w:val="en-US"/>
        </w:rPr>
      </w:pPr>
      <w:r w:rsidRPr="00D6441B">
        <w:rPr>
          <w:rFonts w:ascii="Times New Roman" w:hAnsi="Times New Roman"/>
          <w:b/>
          <w:i/>
          <w:sz w:val="24"/>
          <w:szCs w:val="24"/>
          <w:lang w:val="en-US"/>
        </w:rPr>
        <w:t>Keywords:</w:t>
      </w:r>
      <w:r w:rsidRPr="00D6441B">
        <w:rPr>
          <w:rFonts w:ascii="Times New Roman" w:hAnsi="Times New Roman"/>
          <w:i/>
          <w:sz w:val="24"/>
          <w:szCs w:val="24"/>
          <w:lang w:val="en-US"/>
        </w:rPr>
        <w:t xml:space="preserve"> Chicken, environment, fertilizer, organic production, solid waste </w:t>
      </w:r>
    </w:p>
    <w:p w:rsidR="001F5FA8" w:rsidRPr="00D6441B" w:rsidRDefault="001F5FA8" w:rsidP="001F5FA8">
      <w:pPr>
        <w:widowControl w:val="0"/>
        <w:spacing w:before="120" w:after="120" w:line="240" w:lineRule="auto"/>
        <w:jc w:val="both"/>
        <w:rPr>
          <w:rFonts w:ascii="Times New Roman" w:hAnsi="Times New Roman"/>
          <w:b/>
          <w:sz w:val="24"/>
          <w:szCs w:val="24"/>
        </w:rPr>
      </w:pPr>
    </w:p>
    <w:p w:rsidR="00DC2ADC" w:rsidRDefault="00DC2ADC" w:rsidP="001F5FA8">
      <w:pPr>
        <w:widowControl w:val="0"/>
        <w:spacing w:before="120" w:after="120" w:line="240" w:lineRule="auto"/>
        <w:jc w:val="both"/>
        <w:rPr>
          <w:rFonts w:ascii="Times New Roman" w:hAnsi="Times New Roman"/>
          <w:b/>
          <w:sz w:val="24"/>
          <w:szCs w:val="24"/>
        </w:rPr>
        <w:sectPr w:rsidR="00DC2ADC" w:rsidSect="00E230BE">
          <w:type w:val="continuous"/>
          <w:pgSz w:w="11906" w:h="16838"/>
          <w:pgMar w:top="1417" w:right="849" w:bottom="1417" w:left="1134" w:header="708" w:footer="340" w:gutter="0"/>
          <w:cols w:space="708"/>
          <w:docGrid w:linePitch="360"/>
        </w:sectPr>
      </w:pP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b/>
          <w:sz w:val="24"/>
          <w:szCs w:val="24"/>
        </w:rPr>
        <w:lastRenderedPageBreak/>
        <w:t>1. GİRİŞ</w:t>
      </w:r>
    </w:p>
    <w:p w:rsidR="001F5FA8" w:rsidRDefault="001F5FA8" w:rsidP="001F5FA8">
      <w:pPr>
        <w:widowControl w:val="0"/>
        <w:spacing w:before="120" w:after="120" w:line="240" w:lineRule="auto"/>
        <w:jc w:val="both"/>
        <w:rPr>
          <w:rFonts w:ascii="Times New Roman" w:hAnsi="Times New Roman"/>
          <w:sz w:val="24"/>
          <w:szCs w:val="24"/>
        </w:rPr>
      </w:pP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Artan nüfusun gereksinimini karşılamak üzere verim artışı ana hedef olmuş, üstün nitelikli ve yüksek verimli çeşitlerle birlikte sulama, sentetik kimyasal tarım ilaçları ve mineral gübrelerin kullanımı artmıştır. Yoğun girdi kullanılarak birim alandan daha yüksek verim almaya ve yeni alanların tarıma açılmasına yönelik hedefler belirlenmiştir (Ünlü ve Padem, 2009). Bilinçsiz tarım ilacı ve gübrenin kullanılması, yanlış toprak işleme gibi uygulamalar; toprağın fiziksel yapısının bozulması, kalıntı riski, organik madde ve canlılığının yitirilmesi ve besin maddesi dengesinin bozulması, tuzlanma, çoraklaşma gibi önemli çevre sorunlarına neden olmuştur (Aksoy, 1999). </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Yirminci yüzyılın başından beri yoğun olarak kullanılan suni gübre, hormon ve zirai ilaçlar, toprak, su, hava, gıda; dolayısıyla canlı kalitesini bozmuştur. Bu girdilerin ortaya çıkardığı olumsuz etkiler ilk önce yoğun olarak kullanıldığı gelişmiş ülkelerde görülmüş, buna bağlı olarak yirminci yüzyılın başlarında geliştirilen alternatif teknikleri irdeleme arayışları başlamıştır. Tekrar eski kaliteye ulaşmak için çevreye dost faktörlerin bir şekilde kullanılması gündeme gelmiştir. Böylece birçok ülkede konvansiyonel tarımdan organik tarıma geçilmeye başlanmıştır (Genç, 2006; Zengin, 2007).</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Organik tarım; ekolojik sistemde hatalı uygulamalar sonucu kaybolan doğal dengeyi yeniden korumaya yönelik, insana ve çevreye dost üretim sistemlerini içermekte olup, esas itibariyle toprağın sürdürülebilir bir verimliliğe sahip olmasını sağlama, bitkinin direncini </w:t>
      </w:r>
      <w:r w:rsidRPr="00D6441B">
        <w:rPr>
          <w:rFonts w:ascii="Times New Roman" w:hAnsi="Times New Roman"/>
          <w:sz w:val="24"/>
          <w:szCs w:val="24"/>
        </w:rPr>
        <w:lastRenderedPageBreak/>
        <w:t>artırma, bitki korumada biyolojik yöntemleri de tavsiye eden, bütün bu olanakların kapalı bir sistemde oluşturulmasını talep eden, üretimde miktar artışını değil, ürünün kalitesinin yükselmesini amaçlayan bir üretim sistemi olarak tanımlanmaktadır (Taşbaşlı vd., 2003). Dünyada ve ülkemizde gün geçtikçe organik ürünlere karşı olan ilginin artması, organik ürün yetiştiriciliğine olan ilgiyi de artırmıştır. Üreticiler ve üreticilere gerekli girdileri sağlayan firmalar da organik tarımda kullanılabilecek olan girdileri artırmaya ve geliştirmeye yönelik çalışmalar başlatmışlardır (Ünlü ve Padem, 2009).</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Organik tarımda, kimyasal gübrelerin yerine organik gübrelerin kullanımına izin verilmektedir. Gübrelemenin esasını toprak organik maddesinin ve buna bağlı olarak da mikrobiyolojik aktivitesinin artırılması teşkil eder. Toprağın üstünde ve içinde bulunan her türlü bitkisel ve hayvansal maddelerle bunların parçalanmasından oluşan organik madde, toprakların fiziksel, kimyasal, biyolojik ve verimlilik özellikleri üzerine son derece etkilidir (Tüzel ve Onoğur, 2000). Ahır gübresinin etkisi kimyasal gübreler gibi tek yönlü değildir. Ahır gübresi bir yandan toprağa bitki için gerekli besin maddelerini sağlarken öte yandan da toprağın yapısını tarım için uygun şekle sokar (Kacar, 1994).</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Ülkemiz toprakları, yaklaşık 30–40 yıldan beri, çoğunlukla toprak analizleri yapılmadan azotlu, fosforlu ve potasyumlu suni gübrelerle gübrelenmektedir. Bu durum; topraklarımızda özellikle, fosfor ve potasyum yönünden bazı birikmelere yol açabilmektedir. Bununla birlikte hiç suni gübre kullanılmayan alanlarda sulama ve verim potansiyeli yüksek bitki çeşitlerinin kullanımıyla toprağın bitki besin </w:t>
      </w:r>
      <w:r w:rsidRPr="00D6441B">
        <w:rPr>
          <w:rFonts w:ascii="Times New Roman" w:hAnsi="Times New Roman"/>
          <w:sz w:val="24"/>
          <w:szCs w:val="24"/>
        </w:rPr>
        <w:lastRenderedPageBreak/>
        <w:t xml:space="preserve">maddeleri sömürülerek besin maddelerince fakirleşmesi görülebilmektedir (Çivit, 2010). </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Türkiye toprakları organik madde bakımından sınırlı alanlar hariç genellikle fakirdir (Dinç vd., 2001). Türkiye’de birçok bölgede, özellikle orta Anadolu bölgesinde toprakların organik madde içerikleri % 2’nin hatta % 1’in altına düşmüştür (Munsuz vd., 1996; Şeker ve Karakaplan, 1999). Orta Anadolu bölgesinde uygulanan tarım teknikleri, topraklarda organik madde birikimini azaltarak toprakların verimliliklerinin kaybolmasına neden olmaktadır. Hasat artıklarının (anızın) yakılması, organik gübrelemenin yetersiz olması, toprak verimliliğindeki düşüşün önemli nedenlerindendir (Çivit, 2010).</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Tarımda organik gübre sıkıntısı çekilirken kafes sistemiyle tavukçuluk yapılan işletmelerde sulu tavuk gübresinin depolardan çevreye tasması ve pis koku nedeniyle önemli çevre problemi oluşturması bir çelişki örneğidir. Bu nedenle sulu tavuk gübresinin çevreyi kirleten ve sağlık bozan bir konumdan çıkarılması, organik gübreye dönüştürülmesi ve tarıma kazandırılması gerekmektedir (Korkmaz vd., 1996; 2000). Organik gübre olarak tavuk gübresinin kullanımı toprak verimliliği ve bitki üretimi geliştirmek için gereklidir (Dikinya ve Mufwanzala, 2010). </w:t>
      </w:r>
    </w:p>
    <w:p w:rsidR="001F5FA8" w:rsidRPr="00D6441B" w:rsidRDefault="001F5FA8" w:rsidP="001F5FA8">
      <w:pPr>
        <w:widowControl w:val="0"/>
        <w:spacing w:before="120" w:after="120" w:line="240" w:lineRule="auto"/>
        <w:jc w:val="both"/>
        <w:rPr>
          <w:rFonts w:ascii="Times New Roman" w:hAnsi="Times New Roman"/>
          <w:sz w:val="24"/>
          <w:szCs w:val="24"/>
        </w:rPr>
      </w:pP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b/>
          <w:sz w:val="24"/>
          <w:szCs w:val="24"/>
        </w:rPr>
        <w:t>2. ÇEVRE – HAYVANCILIK İLİŞKİLERİ</w:t>
      </w:r>
    </w:p>
    <w:p w:rsidR="001F5FA8" w:rsidRPr="00D6441B" w:rsidRDefault="001F5FA8" w:rsidP="001F5FA8">
      <w:pPr>
        <w:widowControl w:val="0"/>
        <w:spacing w:before="120" w:after="120" w:line="240" w:lineRule="auto"/>
        <w:jc w:val="both"/>
        <w:rPr>
          <w:rFonts w:ascii="Times New Roman" w:hAnsi="Times New Roman"/>
          <w:b/>
          <w:sz w:val="24"/>
          <w:szCs w:val="24"/>
        </w:rPr>
      </w:pP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Hızla gelişmekte olan hayvancılık işletmelerindeki modernleşme ve yoğun işletmecilik, bir takım sorunları da beraberinde getirmiştir. Aynı zamanda önemli bir ekonomik potansiyel olan atıklar hayvan sayısı ile birlikte çevre için büyük sorun olmaktadır. Gerekli önlemler alınmadığı taktirde, hayvancılık işletmelerinde ortaya çıkan atık sular, potansiyel bir kirletici olarak yer altı ve yer üstü su kaynaklarını kirletebilir. Bu amaçla özellikle hayvancılık işletmelerinde oluşan atıkların olumsuz çevre koşulları oluşturmaması için alınması gerekli yasal ve teknik önlemler ile depolama ve projeleme kriterlerinin incelenmesi gerekmektedir (Karaman, 2006).</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lastRenderedPageBreak/>
        <w:t>Hayvancılık işletmelerinin ortaya çıkardığı kirlilik kaynakları, endüstriyel ve kentsel kirlilik kaynaklarından farklı olarak noktasal kirlilik kaynakları olmayıp daha geniş alanlara yayılmış olması, bu kaynakların neden olduğu su kirliliğinin boyutlarının bilinmesini daha da güç kılmaktadır. Dağınık kirlilik kaynakları olarak nitelendirilen gübreler, hayvansal atıklar vb. yüzey sularına veya yer altı sularına ulaşarak su kaynaklarının kalitesini bozmakta ve kullanılamaz duruma getirmektedir (Özek, 1994; Ongley, 1996). Atık suların doğrudan araziye boşaltılması son derece yanlış bir uygulamadır. Çünkü arazinin geçirgenliği düşük killi toprak ise atık su bir yer üstü su kaynağına ulaşıp onu kirletinceye kadar toprak yüzeyinde akışına devam edecektir. Diğer yandan toprak geçirgen ise, su aşağılara doğru sızarak yer altı suyunu kirletecektir (Bonner vd., 1995; Barker, 1996).</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Tavukçuluk sektörünün gelişimiyle birlikte bazı çevre sorunları oluşmuştur. Bunların başında gübre sorunu gelmektedir. Tavuk dışkısının önemli bir bölümü bitkisel üretimde gübre olarak kullanılmaktadır. Ancak olgunlaşması uzun süreyi gerektirdiğinden bazen bitkilere zararlı olabilmektedir. Uzun süreli kullanım halinde ise yer altı sularının kirlenmesine yol açmaktadır. Ayrıca kokusu da hoşa gitmemektedir. Özellikle kafes sistemi ile yapılan yumurta üretiminde biriken tonlarca gübrenin çevreye zarar vermeden ortadan kaldırılması için yoğun çalışmalar yapılmakta ve çeşitli kurutma yöntemleri geliştirilmektedir (Gül, 2006).</w:t>
      </w: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sz w:val="24"/>
          <w:szCs w:val="24"/>
        </w:rPr>
        <w:t>Tavuk çiftliklerinin olduğu yerlere ve çevresine bakıldığında insan ve çevre sağlığının risk altında olduğu görülmektedir. Bunun yanında yer altı suyu kirliliği, koku oluşumu ve görüntü kirliliği gibi çevre sorunları ilk etapta sıralanabilir. Bu sorunların çözümü için yapılacak çalışmalara hız verilmeli, çevre dostu yatırımlara öncelik verilmelidir. Hayvan atıkları için çevresel açıdan kabul edilebilir bertaraf yöntemleri büyük ölçekte biyokütle-enerji dönüşüm sistemi olarak dikkate alındığında bu atıklardan enerji elde edilmesi ve ayrıca yan ürün şeklinde besin değeri olan gübre elde edilmesi de mümkün olmaktadır.</w:t>
      </w: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b/>
          <w:sz w:val="24"/>
          <w:szCs w:val="24"/>
        </w:rPr>
        <w:lastRenderedPageBreak/>
        <w:t>3. TAVUKÇULUK KATI ATIKLARI</w:t>
      </w:r>
    </w:p>
    <w:p w:rsidR="001F5FA8" w:rsidRPr="00D6441B" w:rsidRDefault="001F5FA8" w:rsidP="001F5FA8">
      <w:pPr>
        <w:widowControl w:val="0"/>
        <w:spacing w:before="120" w:after="120" w:line="240" w:lineRule="auto"/>
        <w:jc w:val="both"/>
        <w:rPr>
          <w:rFonts w:ascii="Times New Roman" w:hAnsi="Times New Roman"/>
          <w:sz w:val="24"/>
          <w:szCs w:val="24"/>
        </w:rPr>
      </w:pP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Gelişen tavukçuluk, beraberinde bazı sorunları da getirmiştir. Tavukçuluk endüstrisinin karşılaştığı en büyük sorunlar arasında, üretim sırasında meydana gelen artıkların çevreye zarar vermesidir. Tavuk üretimindeki artış, çok miktarda gübre, ölü hayvan, kuluçkahane ve kesimhane artıkları gibi maddelerin oluşmasına sebep olmaktadır (Asyalı, 1992).</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Tavuk gübresi bitki beslemede değerli bir gübre olmakla birlikte azot ve fosfor içermesinden dolayı yer altı ve yer üstü sularının kirlenmesine sebep olmaktadır. Ayrıca özellikle yaş tavuk gübresi, sinek ve böcek larvalarının gelişmesi için uygun bir ortam oluşturmaktadır. Bundan başka ortalıkta bırakılan kuluçkahane-kesimhane artıklarıyla tavuk kadavraları çevreye yaydıkları pis kokunun yanı sıra yine zararlı mikroorganizmalar ve çeşitli hastalık etkenleri bakımından bir üreme ortamı oluşturması, çevresel kaygıları gündeme getirmiştir (Blake, 1993).</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Yumurta tavukçuluğu işletmelerinde günlük olarak uzaklaştırılması gereken gübre miktarı, her bir tavuğun gübre üretimine ve kümes kapasitesine bağlı olarak değişmektedir. Gübreliğin kapasitesini belirlemek amacıyla bir tavuğun günlük gübre üretim miktarları, 150-200 g (Bengston ve Whitaker, 1986; Akkaya, 2002) veya 175 g (Yavuzcan, 1983; Akkaya, 2002) olarak alınabilir. Tavuklardan elde edilen atığın miktarı, bileşimi ve değeri; hayvanın tipi, ağırlığı, yediği yemin bileşimi ve miktarı ile birlikte kümeste kullanılan yataklığın cinsi ve miktarına da bağlı olarak değişmektedir. Genel olarak %10 ham selüloz, %26 kül, %33 ham protein, %10 gerçek protein, %2,6 eter ekstraktı, %3-6 toplam azot ve %3 P</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5</w:t>
      </w:r>
      <w:r w:rsidRPr="00D6441B">
        <w:rPr>
          <w:rFonts w:ascii="Times New Roman" w:hAnsi="Times New Roman"/>
          <w:sz w:val="24"/>
          <w:szCs w:val="24"/>
        </w:rPr>
        <w:t xml:space="preserve"> bulunmaktadır (Gül, 2006). Tavuk atığının diğer hayvan atıklarından en önemli farkı, tavuğun bilinen bir fizyolojik özelliğinin sonucu olarak oluşmasıdır. Tavukta üreme organları, kalın barsaklar ve idrar yolları aynı delikle (kloak) dışarı açıldıklarından, dışkı genellikle idrarla karışmış olarak dışarı atılır ve bu nedenle azot bakımından oldukça zengindir. Taze tavuk artığının su muhtevası %70-80, </w:t>
      </w:r>
      <w:r w:rsidRPr="00D6441B">
        <w:rPr>
          <w:rFonts w:ascii="Times New Roman" w:hAnsi="Times New Roman"/>
          <w:sz w:val="24"/>
          <w:szCs w:val="24"/>
        </w:rPr>
        <w:lastRenderedPageBreak/>
        <w:t>kuru madde miktarı %20-30 kadardır. Kurutulmuş tavuk artığında toplam azot miktarı %3-6 arasındadır. Bu ise %18-36 proteine eşdeğerdir. Kuru tavuk artığındaki toplam azotun yani ham proteinin varlığı; artığın elde edilişi, saklandığı yer ve süre ile ilişkilidir (Alyanak ve Filibeli, 1987).</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Tavukçuluk atıkları içinde en fazla yeri dışkı işgal etmektedir. Bir tavuk ortalama günde 140-160 g taze dışkı üretmektedir. Türkiye’de 2009 TÜİK verilerine göre 230 milyon adet kanatlı kümes hayvanı ve açıkta bırakılan gübrenin çevreye 50 kat zarar verdiği ve gelecekte tavuk sayısının daha da artacağı göz önüne alınırsa problemin ülke çapındaki boyutları ortaya çıkmaktadır.</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Tavukçuluk katı atıkları değişen miktarlarda su, bitki besleme açısından önemli azot, fosfor, potasyum, kalsiyum, magnezyum, kükürt, manganez, bakır, çinko, klor, bor, demir ve molibden gibi mineral besin maddeleri ve organik madde içermektedir (Edwards ve Daniel, 1992; Brady ve Weil, 1996; Amanullah vd., 2010). Tablo 1’de farklı yetiştirme sistemlerinden elde edilen tavuk dışkısının yapısına ilişkin veriler bulunmaktadır (Amanullah vd., 2007).</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Tavuk dışkısının kimyasal yapısı son 30 yıl içerisinde kapsamlı bir şekilde analiz edilmiş, yapılan birçok çalışma tavuk dışkısının kimyasal yapısına ilişkin veriler toplanmıştır (ASAE D384.1, 1998; NRAES, 1999). Dışkının kaynağı, kullanılan yem, hayvanın yaşı, dışkının depolanması ve taşınması, altlık kullanımı ve yapısı gibi faktörlere bağlı olarak tavuk gübresinin kimyasal yapısı değişmektedir (John vd., 2001). Tavukçuluk sektöründe; kuluçkahane ve kesimhane artıkları,  ölü tavuklar ve tavuk dışkısı gibi katı atıklar meydana gelmekte, oluşan katı atıkların büyük bir kısmını ise tavuk dışkısı oluşturmaktadır (Demirulus ve Aydın, 1996). </w:t>
      </w:r>
    </w:p>
    <w:p w:rsidR="00DC2ADC" w:rsidRDefault="00DC2ADC" w:rsidP="001F5FA8">
      <w:pPr>
        <w:widowControl w:val="0"/>
        <w:spacing w:before="120" w:after="120" w:line="240" w:lineRule="auto"/>
        <w:jc w:val="both"/>
        <w:rPr>
          <w:rFonts w:ascii="Times New Roman" w:hAnsi="Times New Roman"/>
          <w:b/>
          <w:sz w:val="24"/>
          <w:szCs w:val="24"/>
        </w:rPr>
      </w:pPr>
    </w:p>
    <w:p w:rsidR="00DC2ADC" w:rsidRDefault="00DC2ADC" w:rsidP="001F5FA8">
      <w:pPr>
        <w:widowControl w:val="0"/>
        <w:spacing w:before="120" w:after="120" w:line="240" w:lineRule="auto"/>
        <w:jc w:val="both"/>
        <w:rPr>
          <w:rFonts w:ascii="Times New Roman" w:hAnsi="Times New Roman"/>
          <w:b/>
          <w:sz w:val="24"/>
          <w:szCs w:val="24"/>
        </w:rPr>
      </w:pPr>
    </w:p>
    <w:p w:rsidR="00DC2ADC" w:rsidRDefault="00DC2ADC" w:rsidP="001F5FA8">
      <w:pPr>
        <w:widowControl w:val="0"/>
        <w:spacing w:before="120" w:after="120" w:line="240" w:lineRule="auto"/>
        <w:jc w:val="both"/>
        <w:rPr>
          <w:rFonts w:ascii="Times New Roman" w:hAnsi="Times New Roman"/>
          <w:b/>
          <w:sz w:val="24"/>
          <w:szCs w:val="24"/>
        </w:rPr>
      </w:pPr>
    </w:p>
    <w:p w:rsidR="00DC2ADC" w:rsidRDefault="00DC2ADC" w:rsidP="001F5FA8">
      <w:pPr>
        <w:widowControl w:val="0"/>
        <w:spacing w:before="120" w:after="120" w:line="240" w:lineRule="auto"/>
        <w:jc w:val="both"/>
        <w:rPr>
          <w:rFonts w:ascii="Times New Roman" w:hAnsi="Times New Roman"/>
          <w:b/>
          <w:sz w:val="24"/>
          <w:szCs w:val="24"/>
        </w:rPr>
      </w:pPr>
    </w:p>
    <w:p w:rsidR="00DC2ADC" w:rsidRDefault="00DC2ADC" w:rsidP="001F5FA8">
      <w:pPr>
        <w:widowControl w:val="0"/>
        <w:spacing w:before="120" w:after="120" w:line="240" w:lineRule="auto"/>
        <w:jc w:val="both"/>
        <w:rPr>
          <w:rFonts w:ascii="Times New Roman" w:hAnsi="Times New Roman"/>
          <w:b/>
          <w:sz w:val="24"/>
          <w:szCs w:val="24"/>
        </w:rPr>
      </w:pPr>
    </w:p>
    <w:p w:rsidR="00DC2ADC" w:rsidRDefault="00DC2ADC" w:rsidP="001F5FA8">
      <w:pPr>
        <w:widowControl w:val="0"/>
        <w:spacing w:before="120" w:after="120" w:line="240" w:lineRule="auto"/>
        <w:jc w:val="both"/>
        <w:rPr>
          <w:rFonts w:ascii="Times New Roman" w:hAnsi="Times New Roman"/>
          <w:b/>
          <w:sz w:val="24"/>
          <w:szCs w:val="24"/>
        </w:rPr>
        <w:sectPr w:rsidR="00DC2ADC" w:rsidSect="00E230BE">
          <w:type w:val="continuous"/>
          <w:pgSz w:w="11906" w:h="16838"/>
          <w:pgMar w:top="1417" w:right="849" w:bottom="1417" w:left="1134" w:header="708" w:footer="340" w:gutter="0"/>
          <w:cols w:num="2" w:space="708"/>
          <w:docGrid w:linePitch="360"/>
        </w:sectPr>
      </w:pP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b/>
          <w:sz w:val="24"/>
          <w:szCs w:val="24"/>
        </w:rPr>
        <w:lastRenderedPageBreak/>
        <w:t xml:space="preserve">Tablo 1. </w:t>
      </w:r>
      <w:r w:rsidRPr="00D6441B">
        <w:rPr>
          <w:rFonts w:ascii="Times New Roman" w:hAnsi="Times New Roman"/>
          <w:sz w:val="24"/>
          <w:szCs w:val="24"/>
        </w:rPr>
        <w:t>Farklı tipte tavuk atıklarının besin maddesi içeriği</w:t>
      </w:r>
      <w:r w:rsidRPr="00D6441B">
        <w:rPr>
          <w:rFonts w:ascii="Times New Roman" w:hAnsi="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535"/>
        <w:gridCol w:w="2535"/>
        <w:gridCol w:w="2535"/>
      </w:tblGrid>
      <w:tr w:rsidR="001F5FA8" w:rsidRPr="00D6441B" w:rsidTr="008D1314">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b/>
                <w:sz w:val="24"/>
                <w:szCs w:val="24"/>
              </w:rPr>
            </w:pPr>
            <w:r w:rsidRPr="00D6441B">
              <w:rPr>
                <w:rFonts w:ascii="Times New Roman" w:hAnsi="Times New Roman"/>
                <w:b/>
                <w:sz w:val="24"/>
                <w:szCs w:val="24"/>
              </w:rPr>
              <w:t>Maddeler</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b/>
                <w:sz w:val="24"/>
                <w:szCs w:val="24"/>
              </w:rPr>
            </w:pPr>
            <w:r w:rsidRPr="00D6441B">
              <w:rPr>
                <w:rFonts w:ascii="Times New Roman" w:hAnsi="Times New Roman"/>
                <w:b/>
                <w:sz w:val="24"/>
                <w:szCs w:val="24"/>
              </w:rPr>
              <w:t>Derin altlıklı Sistem</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b/>
                <w:sz w:val="24"/>
                <w:szCs w:val="24"/>
              </w:rPr>
            </w:pPr>
            <w:r w:rsidRPr="00D6441B">
              <w:rPr>
                <w:rFonts w:ascii="Times New Roman" w:hAnsi="Times New Roman"/>
                <w:b/>
                <w:sz w:val="24"/>
                <w:szCs w:val="24"/>
              </w:rPr>
              <w:t>Etlik Piliç</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b/>
                <w:sz w:val="24"/>
                <w:szCs w:val="24"/>
              </w:rPr>
            </w:pPr>
            <w:r w:rsidRPr="00D6441B">
              <w:rPr>
                <w:rFonts w:ascii="Times New Roman" w:hAnsi="Times New Roman"/>
                <w:b/>
                <w:sz w:val="24"/>
                <w:szCs w:val="24"/>
              </w:rPr>
              <w:t>Kafes Tavukçuluğu</w:t>
            </w:r>
          </w:p>
        </w:tc>
      </w:tr>
      <w:tr w:rsidR="001F5FA8" w:rsidRPr="00D6441B" w:rsidTr="008D1314">
        <w:trPr>
          <w:trHeight w:val="56"/>
        </w:trPr>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C/N Oranı</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9,50 – 11,50</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9,40 – 11,20</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5,80 – 7,60</w:t>
            </w:r>
          </w:p>
        </w:tc>
      </w:tr>
      <w:tr w:rsidR="001F5FA8" w:rsidRPr="00D6441B" w:rsidTr="008D1314">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Toplam N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1,70 – 2,20</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2,40 – 3,60</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3,63 – 5,30</w:t>
            </w:r>
          </w:p>
        </w:tc>
      </w:tr>
      <w:tr w:rsidR="001F5FA8" w:rsidRPr="00D6441B" w:rsidTr="008D1314">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Toplam P</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5</w:t>
            </w:r>
            <w:r w:rsidRPr="00D6441B">
              <w:rPr>
                <w:rFonts w:ascii="Times New Roman" w:hAnsi="Times New Roman"/>
                <w:sz w:val="24"/>
                <w:szCs w:val="24"/>
              </w:rPr>
              <w:t xml:space="preserve">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1,41 – 1,81</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1,56 – 2,80</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1,54 – 2,90</w:t>
            </w:r>
          </w:p>
        </w:tc>
      </w:tr>
      <w:tr w:rsidR="001F5FA8" w:rsidRPr="00D6441B" w:rsidTr="008D1314">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Toplam K</w:t>
            </w:r>
            <w:r w:rsidRPr="00D6441B">
              <w:rPr>
                <w:rFonts w:ascii="Times New Roman" w:hAnsi="Times New Roman"/>
                <w:sz w:val="24"/>
                <w:szCs w:val="24"/>
                <w:vertAlign w:val="subscript"/>
              </w:rPr>
              <w:t>2</w:t>
            </w:r>
            <w:r w:rsidRPr="00D6441B">
              <w:rPr>
                <w:rFonts w:ascii="Times New Roman" w:hAnsi="Times New Roman"/>
                <w:sz w:val="24"/>
                <w:szCs w:val="24"/>
              </w:rPr>
              <w:t>O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0,93 – 1,30</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1,40 – 2,31</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2,50 – 2,90</w:t>
            </w:r>
          </w:p>
        </w:tc>
      </w:tr>
      <w:tr w:rsidR="001F5FA8" w:rsidRPr="00D6441B" w:rsidTr="008D1314">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Fe (ppm)</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930 –1380</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970 – 1370</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970 – 1450</w:t>
            </w:r>
          </w:p>
        </w:tc>
      </w:tr>
      <w:tr w:rsidR="001F5FA8" w:rsidRPr="00D6441B" w:rsidTr="008D1314">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Zn (ppm)</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90 – 308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160 – 315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290 – 460 </w:t>
            </w:r>
          </w:p>
        </w:tc>
      </w:tr>
      <w:tr w:rsidR="001F5FA8" w:rsidRPr="00D6441B" w:rsidTr="008D1314">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Cu (ppm)</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24 – 42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27 – 47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80 – 172 </w:t>
            </w:r>
          </w:p>
        </w:tc>
      </w:tr>
      <w:tr w:rsidR="001F5FA8" w:rsidRPr="00D6441B" w:rsidTr="008D1314">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Mn (ppm)</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210 – 380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190 – 350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370 – 590 </w:t>
            </w:r>
          </w:p>
        </w:tc>
      </w:tr>
      <w:tr w:rsidR="001F5FA8" w:rsidRPr="00D6441B" w:rsidTr="008D1314">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Ca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0,90 – 1,10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0,86 – 1,11</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0,80 – 1,02</w:t>
            </w:r>
          </w:p>
        </w:tc>
      </w:tr>
      <w:tr w:rsidR="001F5FA8" w:rsidRPr="00D6441B" w:rsidTr="008D1314">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Mg (%)</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0,45 – 0,68</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0,42 – 0,65</w:t>
            </w:r>
          </w:p>
        </w:tc>
        <w:tc>
          <w:tcPr>
            <w:tcW w:w="125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0,40 – 0,56</w:t>
            </w:r>
          </w:p>
        </w:tc>
      </w:tr>
    </w:tbl>
    <w:p w:rsidR="00DC2ADC" w:rsidRDefault="00DC2ADC" w:rsidP="001F5FA8">
      <w:pPr>
        <w:widowControl w:val="0"/>
        <w:spacing w:before="120" w:after="120" w:line="240" w:lineRule="auto"/>
        <w:jc w:val="both"/>
        <w:rPr>
          <w:rFonts w:ascii="Times New Roman" w:hAnsi="Times New Roman"/>
          <w:sz w:val="24"/>
          <w:szCs w:val="24"/>
        </w:rPr>
        <w:sectPr w:rsidR="00DC2ADC" w:rsidSect="00E230BE">
          <w:type w:val="continuous"/>
          <w:pgSz w:w="11906" w:h="16838"/>
          <w:pgMar w:top="1417" w:right="849" w:bottom="1417" w:left="1134" w:header="708" w:footer="340" w:gutter="0"/>
          <w:cols w:space="708"/>
          <w:docGrid w:linePitch="360"/>
        </w:sectPr>
      </w:pP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sz w:val="24"/>
          <w:szCs w:val="24"/>
        </w:rPr>
        <w:lastRenderedPageBreak/>
        <w:t xml:space="preserve"> </w:t>
      </w: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b/>
          <w:sz w:val="24"/>
          <w:szCs w:val="24"/>
        </w:rPr>
        <w:t>4. TAVUK DIŞKISININ GÜBRE OLARAK KULLANIMI</w:t>
      </w:r>
    </w:p>
    <w:p w:rsidR="001F5FA8" w:rsidRPr="00D6441B" w:rsidRDefault="001F5FA8" w:rsidP="001F5FA8">
      <w:pPr>
        <w:widowControl w:val="0"/>
        <w:spacing w:before="120" w:after="120" w:line="240" w:lineRule="auto"/>
        <w:jc w:val="both"/>
        <w:rPr>
          <w:rFonts w:ascii="Times New Roman" w:hAnsi="Times New Roman"/>
          <w:sz w:val="24"/>
          <w:szCs w:val="24"/>
        </w:rPr>
      </w:pP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Hayvan dışkısının gübre olarak kullanımı yüzyıllardır devam etmektedir. Tavuk dışkısı içerdiği yüksek azot miktarı nedeniyle daha çok tercih edilmektedir. Ayrıca, hayvan dışkıları bitkilerin gereksinim duyduğu besin maddelerinin dışında toprağa organik madde katkısıyla da dikkat çekmektedir. Toprakta organik maddenin kalıcılığı; sıcaklık, drenaj, yağış ve diğer çevresel faktörlere bağlı olarak değişmektedir. Organik madde toprakta nem ve besin maddelerinin tutulmasını iyileştirmektedir. Gübre kullanımı, sürdürülebilir tarımın ayrılmaz bir parçasıdır (Sloan vd., 2003).</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Organik artıkların dünya genelinde gübre olarak kullanımı geçmiş yüzyıllarda olduğu gibi son yıllarda da giderek yaygınlaşmakta toprağın kimyasal yapısı ve ürün verimi üzerine potansiyel etkilerini değerlendirmek üzere yapılacak çalışmalara gereksinim duyulmaktadır (Dikinya ve Mufwanzala, 2010). Ayrıca tavuk gübresi, içerdiği yüksek azot, fosfor ve potasyum miktarı nedeniyle diğer hayvansal gübrelerin kullanımından daha önemli hale gelmiştir Artan akaryakıt fiyatları, inorganik gübre fiyatlarının artmasına dolaylı etkide bulunmakta, tavuk gübresinin kullanımının artmasına neden olmaktadır. Diğer taraftan dünya genelinde birçok çevre kuruluşları sürdürülebilir tarım için organik gübre uygulamasını önermektedirler. </w:t>
      </w:r>
    </w:p>
    <w:p w:rsidR="00DC2ADC" w:rsidRDefault="00DC2ADC" w:rsidP="001F5FA8">
      <w:pPr>
        <w:widowControl w:val="0"/>
        <w:spacing w:before="120" w:after="120" w:line="240" w:lineRule="auto"/>
        <w:jc w:val="both"/>
        <w:rPr>
          <w:rFonts w:ascii="Times New Roman" w:hAnsi="Times New Roman"/>
          <w:sz w:val="24"/>
          <w:szCs w:val="24"/>
        </w:rPr>
      </w:pP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İçerdiği yüksek makro besin maddeleri bakımından diğer hayvansal atıklara oranla tavuk dışkısı daha fazla tercih edilmektedir. Chescheir vd. (1986), üzerinde çalıştıkları topraklarda tavuk gübresinin azot düzeyini yükselttiğini bildirmektedirler. Yapılan birçok çalışmada olduğu gibi Dikinya ve Mufwanzala (2010), toprağın azot ve fosfor düzeyi üzerine olumlu etkisini saptadıkları bir çalışmada, ürün verimi üzerine de olumlu etkilerini belirlemişler ve tavuk gübresini önemli bir bitki besin maddesi olarak değerlendirmektedirler. </w:t>
      </w:r>
    </w:p>
    <w:p w:rsidR="001F5FA8" w:rsidRPr="00D6441B" w:rsidRDefault="001F5FA8" w:rsidP="001F5FA8">
      <w:pPr>
        <w:widowControl w:val="0"/>
        <w:spacing w:before="120" w:after="120" w:line="240" w:lineRule="auto"/>
        <w:jc w:val="both"/>
        <w:rPr>
          <w:rFonts w:ascii="Times New Roman" w:hAnsi="Times New Roman"/>
          <w:b/>
          <w:sz w:val="24"/>
          <w:szCs w:val="24"/>
        </w:rPr>
      </w:pP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b/>
          <w:sz w:val="24"/>
          <w:szCs w:val="24"/>
        </w:rPr>
        <w:t>4.1. Materyal ve Yöntem</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Sivas koşullarında arpa verimine etkisini belirlemek amacıyla kimyevi gübre + humik asit, bakteriyel gübre, leonardit ve içerikleri Tablo 2’de verilen Gübresan A.Ş. den alınan 90 gün aerobik (havalı) koşullarda fermentasyonundan elde edilen pelet tavuk gübresi (4 – 5 mm pelet aralığı) + biovital uygulaması toplam 1000 dekar arazide denenmiştir. Tarm-92 Sertifikalı arpa tohumu (22 kg/da) araştırmada kullanılmıştır. Araştırma deseni Tablo 3’de özetlenmiştir.  Elde edilen sonuçların varyans analizi ve ortalamalar arasındaki farkın (Duncan testi) karşılaştırması, Minitab paket programı ile belirlenmiş, sonuçlar Düzgüneş vd. (1987)’nın bildirdiği şekilde değerlendirilmiştir.</w:t>
      </w:r>
    </w:p>
    <w:p w:rsidR="001F5FA8" w:rsidRPr="00D6441B" w:rsidRDefault="001F5FA8" w:rsidP="001F5FA8">
      <w:pPr>
        <w:widowControl w:val="0"/>
        <w:spacing w:before="120" w:after="120" w:line="240" w:lineRule="auto"/>
        <w:jc w:val="both"/>
        <w:rPr>
          <w:rFonts w:ascii="Times New Roman" w:hAnsi="Times New Roman"/>
          <w:sz w:val="24"/>
          <w:szCs w:val="24"/>
        </w:rPr>
      </w:pP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b/>
          <w:sz w:val="24"/>
          <w:szCs w:val="24"/>
        </w:rPr>
        <w:t>4.2. Bulgular ve Tartışma</w:t>
      </w: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Uygulamalardan elde edilen verim (kg/da) </w:t>
      </w:r>
      <w:r w:rsidRPr="00D6441B">
        <w:rPr>
          <w:rFonts w:ascii="Times New Roman" w:hAnsi="Times New Roman"/>
          <w:sz w:val="24"/>
          <w:szCs w:val="24"/>
        </w:rPr>
        <w:lastRenderedPageBreak/>
        <w:t xml:space="preserve">değerleri ve bin tane ağırlıkları (g) Tablo 4’de verilmiştir. Arpa üretiminde uygulanan gübre denemelerinden en yüksek verim 342,23 kg/da ile Kimyevi Gübre + Humik Asit uygulamasından elde edilmiştir. Bunu 284,93 kg/da ile Tavuk Gübresi + Biovital takip etmiştir. Bu iki gübre uygulaması arasında farklılık önemli bulunmuştur (P&lt;0.05). Leonardit ve Bakteriyel Gübre </w:t>
      </w:r>
      <w:r w:rsidRPr="00D6441B">
        <w:rPr>
          <w:rFonts w:ascii="Times New Roman" w:hAnsi="Times New Roman"/>
          <w:sz w:val="24"/>
          <w:szCs w:val="24"/>
        </w:rPr>
        <w:lastRenderedPageBreak/>
        <w:t xml:space="preserve">uygulamalarından sırasıyla elde edilen 204,67 ve 197,10 kg/da değerleri arasında farklılık önemsiz (P&gt;0.05) olmasına karşın Kimyevi Gübre ve Tavuk Gübresiyle karşılaştırıldıklarında fark önemli (P&lt;0.05) olarak gerçekleşmiştir. Bin tane ağırlıkları bakımından herhangi bir farklılık gözlenmemiştir. </w:t>
      </w:r>
    </w:p>
    <w:p w:rsidR="001F5FA8" w:rsidRPr="00D6441B" w:rsidRDefault="001F5FA8" w:rsidP="001F5FA8">
      <w:pPr>
        <w:widowControl w:val="0"/>
        <w:spacing w:before="120" w:after="120" w:line="240" w:lineRule="auto"/>
        <w:jc w:val="both"/>
        <w:rPr>
          <w:rFonts w:ascii="Times New Roman" w:hAnsi="Times New Roman"/>
          <w:sz w:val="24"/>
          <w:szCs w:val="24"/>
        </w:rPr>
      </w:pPr>
    </w:p>
    <w:p w:rsidR="00DC2ADC" w:rsidRDefault="00DC2ADC" w:rsidP="001F5FA8">
      <w:pPr>
        <w:widowControl w:val="0"/>
        <w:spacing w:before="120" w:after="120" w:line="240" w:lineRule="auto"/>
        <w:jc w:val="both"/>
        <w:rPr>
          <w:rFonts w:ascii="Times New Roman" w:hAnsi="Times New Roman"/>
          <w:b/>
          <w:sz w:val="24"/>
          <w:szCs w:val="24"/>
        </w:rPr>
        <w:sectPr w:rsidR="00DC2ADC" w:rsidSect="00E230BE">
          <w:type w:val="continuous"/>
          <w:pgSz w:w="11906" w:h="16838"/>
          <w:pgMar w:top="1417" w:right="849" w:bottom="1417" w:left="1134" w:header="708" w:footer="340" w:gutter="0"/>
          <w:cols w:num="2" w:space="708"/>
          <w:docGrid w:linePitch="360"/>
        </w:sectPr>
      </w:pPr>
    </w:p>
    <w:p w:rsidR="00DC2ADC" w:rsidRDefault="00DC2ADC" w:rsidP="001F5FA8">
      <w:pPr>
        <w:widowControl w:val="0"/>
        <w:spacing w:before="120" w:after="120" w:line="240" w:lineRule="auto"/>
        <w:jc w:val="both"/>
        <w:rPr>
          <w:rFonts w:ascii="Times New Roman" w:hAnsi="Times New Roman"/>
          <w:b/>
          <w:sz w:val="24"/>
          <w:szCs w:val="24"/>
        </w:rPr>
      </w:pP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b/>
          <w:sz w:val="24"/>
          <w:szCs w:val="24"/>
        </w:rPr>
        <w:t xml:space="preserve">Tablo 2. </w:t>
      </w:r>
      <w:r w:rsidRPr="00D6441B">
        <w:rPr>
          <w:rFonts w:ascii="Times New Roman" w:hAnsi="Times New Roman"/>
          <w:sz w:val="24"/>
          <w:szCs w:val="24"/>
        </w:rPr>
        <w:t>Araştırmada kullanılan tavuk gübresi + biovital içeriği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gridCol w:w="2971"/>
        <w:gridCol w:w="2971"/>
      </w:tblGrid>
      <w:tr w:rsidR="001F5FA8" w:rsidRPr="00D6441B" w:rsidTr="008D1314">
        <w:tc>
          <w:tcPr>
            <w:tcW w:w="2070" w:type="pct"/>
            <w:shd w:val="clear" w:color="auto" w:fill="auto"/>
          </w:tcPr>
          <w:p w:rsidR="001F5FA8" w:rsidRPr="00D6441B" w:rsidRDefault="001F5FA8" w:rsidP="008D1314">
            <w:pPr>
              <w:widowControl w:val="0"/>
              <w:spacing w:after="0" w:line="240" w:lineRule="auto"/>
              <w:jc w:val="both"/>
              <w:rPr>
                <w:rFonts w:ascii="Times New Roman" w:hAnsi="Times New Roman"/>
                <w:b/>
                <w:sz w:val="24"/>
                <w:szCs w:val="24"/>
              </w:rPr>
            </w:pPr>
            <w:r w:rsidRPr="00D6441B">
              <w:rPr>
                <w:rFonts w:ascii="Times New Roman" w:hAnsi="Times New Roman"/>
                <w:b/>
                <w:sz w:val="24"/>
                <w:szCs w:val="24"/>
              </w:rPr>
              <w:t>Maddeler</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b/>
                <w:sz w:val="24"/>
                <w:szCs w:val="24"/>
              </w:rPr>
            </w:pPr>
            <w:r w:rsidRPr="00D6441B">
              <w:rPr>
                <w:rFonts w:ascii="Times New Roman" w:hAnsi="Times New Roman"/>
                <w:b/>
                <w:sz w:val="24"/>
                <w:szCs w:val="24"/>
              </w:rPr>
              <w:t>Tavuk Gübresi</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b/>
                <w:sz w:val="24"/>
                <w:szCs w:val="24"/>
              </w:rPr>
            </w:pPr>
            <w:r w:rsidRPr="00D6441B">
              <w:rPr>
                <w:rFonts w:ascii="Times New Roman" w:hAnsi="Times New Roman"/>
                <w:b/>
                <w:sz w:val="24"/>
                <w:szCs w:val="24"/>
              </w:rPr>
              <w:t>Biovital</w:t>
            </w:r>
          </w:p>
        </w:tc>
      </w:tr>
      <w:tr w:rsidR="001F5FA8" w:rsidRPr="00D6441B" w:rsidTr="008D1314">
        <w:tc>
          <w:tcPr>
            <w:tcW w:w="207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Organik Madde (%)</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55</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25</w:t>
            </w:r>
          </w:p>
        </w:tc>
      </w:tr>
      <w:tr w:rsidR="001F5FA8" w:rsidRPr="00D6441B" w:rsidTr="008D1314">
        <w:tc>
          <w:tcPr>
            <w:tcW w:w="207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Toplam Azot (%)</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2</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4,5</w:t>
            </w:r>
          </w:p>
        </w:tc>
      </w:tr>
      <w:tr w:rsidR="001F5FA8" w:rsidRPr="00D6441B" w:rsidTr="008D1314">
        <w:tc>
          <w:tcPr>
            <w:tcW w:w="207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Organik Azot (%)</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1</w:t>
            </w:r>
          </w:p>
        </w:tc>
      </w:tr>
      <w:tr w:rsidR="001F5FA8" w:rsidRPr="00D6441B" w:rsidTr="008D1314">
        <w:tc>
          <w:tcPr>
            <w:tcW w:w="207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Fosfor P</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5</w:t>
            </w:r>
            <w:r w:rsidRPr="00D6441B">
              <w:rPr>
                <w:rFonts w:ascii="Times New Roman" w:hAnsi="Times New Roman"/>
                <w:sz w:val="24"/>
                <w:szCs w:val="24"/>
              </w:rPr>
              <w:t xml:space="preserve"> (%)</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3</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w:t>
            </w:r>
          </w:p>
        </w:tc>
      </w:tr>
      <w:tr w:rsidR="001F5FA8" w:rsidRPr="00D6441B" w:rsidTr="008D1314">
        <w:tc>
          <w:tcPr>
            <w:tcW w:w="207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Suda Çözünür K</w:t>
            </w:r>
            <w:r w:rsidRPr="00D6441B">
              <w:rPr>
                <w:rFonts w:ascii="Times New Roman" w:hAnsi="Times New Roman"/>
                <w:sz w:val="24"/>
                <w:szCs w:val="24"/>
                <w:vertAlign w:val="subscript"/>
              </w:rPr>
              <w:t>2</w:t>
            </w:r>
            <w:r w:rsidRPr="00D6441B">
              <w:rPr>
                <w:rFonts w:ascii="Times New Roman" w:hAnsi="Times New Roman"/>
                <w:sz w:val="24"/>
                <w:szCs w:val="24"/>
              </w:rPr>
              <w:t>O (%)</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3</w:t>
            </w:r>
          </w:p>
        </w:tc>
      </w:tr>
      <w:tr w:rsidR="001F5FA8" w:rsidRPr="00D6441B" w:rsidTr="008D1314">
        <w:tc>
          <w:tcPr>
            <w:tcW w:w="207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pH</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6 – 8 </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7 – 8.5 </w:t>
            </w:r>
          </w:p>
        </w:tc>
      </w:tr>
      <w:tr w:rsidR="001F5FA8" w:rsidRPr="00D6441B" w:rsidTr="008D1314">
        <w:tc>
          <w:tcPr>
            <w:tcW w:w="2070"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Nem (En yüksek, %)</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20</w:t>
            </w:r>
          </w:p>
        </w:tc>
        <w:tc>
          <w:tcPr>
            <w:tcW w:w="146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w:t>
            </w:r>
          </w:p>
        </w:tc>
      </w:tr>
    </w:tbl>
    <w:p w:rsidR="001F5FA8" w:rsidRPr="00D6441B" w:rsidRDefault="001F5FA8" w:rsidP="001F5FA8">
      <w:pPr>
        <w:widowControl w:val="0"/>
        <w:spacing w:before="120" w:after="120" w:line="240" w:lineRule="auto"/>
        <w:jc w:val="both"/>
        <w:rPr>
          <w:rFonts w:ascii="Times New Roman" w:hAnsi="Times New Roman"/>
          <w:b/>
          <w:sz w:val="24"/>
          <w:szCs w:val="24"/>
        </w:rPr>
      </w:pP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b/>
          <w:sz w:val="24"/>
          <w:szCs w:val="24"/>
        </w:rPr>
        <w:t>Tablo 3.</w:t>
      </w:r>
      <w:r w:rsidRPr="00D6441B">
        <w:rPr>
          <w:rFonts w:ascii="Times New Roman" w:hAnsi="Times New Roman"/>
          <w:sz w:val="24"/>
          <w:szCs w:val="24"/>
        </w:rPr>
        <w:t xml:space="preserve"> Araştırma deseni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1"/>
        <w:gridCol w:w="3218"/>
      </w:tblGrid>
      <w:tr w:rsidR="001F5FA8" w:rsidRPr="00D6441B" w:rsidTr="008D1314">
        <w:trPr>
          <w:trHeight w:val="163"/>
        </w:trPr>
        <w:tc>
          <w:tcPr>
            <w:tcW w:w="3413" w:type="pct"/>
            <w:shd w:val="clear" w:color="auto" w:fill="auto"/>
            <w:noWrap/>
          </w:tcPr>
          <w:p w:rsidR="001F5FA8" w:rsidRPr="00D6441B" w:rsidRDefault="001F5FA8" w:rsidP="008D1314">
            <w:pPr>
              <w:widowControl w:val="0"/>
              <w:spacing w:after="0" w:line="240" w:lineRule="auto"/>
              <w:jc w:val="both"/>
              <w:rPr>
                <w:rFonts w:ascii="Times New Roman" w:hAnsi="Times New Roman"/>
                <w:b/>
                <w:bCs/>
                <w:sz w:val="24"/>
                <w:szCs w:val="24"/>
              </w:rPr>
            </w:pPr>
            <w:r w:rsidRPr="00D6441B">
              <w:rPr>
                <w:rFonts w:ascii="Times New Roman" w:hAnsi="Times New Roman"/>
                <w:b/>
                <w:bCs/>
                <w:sz w:val="24"/>
                <w:szCs w:val="24"/>
              </w:rPr>
              <w:t>Uygulamalar</w:t>
            </w:r>
          </w:p>
        </w:tc>
        <w:tc>
          <w:tcPr>
            <w:tcW w:w="1587" w:type="pct"/>
            <w:shd w:val="clear" w:color="auto" w:fill="auto"/>
          </w:tcPr>
          <w:p w:rsidR="001F5FA8" w:rsidRPr="00D6441B" w:rsidRDefault="001F5FA8" w:rsidP="008D1314">
            <w:pPr>
              <w:widowControl w:val="0"/>
              <w:spacing w:after="0" w:line="240" w:lineRule="auto"/>
              <w:jc w:val="both"/>
              <w:rPr>
                <w:rFonts w:ascii="Times New Roman" w:hAnsi="Times New Roman"/>
                <w:b/>
                <w:bCs/>
                <w:sz w:val="24"/>
                <w:szCs w:val="24"/>
              </w:rPr>
            </w:pPr>
            <w:r w:rsidRPr="00D6441B">
              <w:rPr>
                <w:rFonts w:ascii="Times New Roman" w:hAnsi="Times New Roman"/>
                <w:b/>
                <w:bCs/>
                <w:sz w:val="24"/>
                <w:szCs w:val="24"/>
              </w:rPr>
              <w:t>Kullanım Miktarları</w:t>
            </w:r>
          </w:p>
        </w:tc>
      </w:tr>
      <w:tr w:rsidR="001F5FA8" w:rsidRPr="00D6441B" w:rsidTr="008D1314">
        <w:trPr>
          <w:trHeight w:val="109"/>
        </w:trPr>
        <w:tc>
          <w:tcPr>
            <w:tcW w:w="5000" w:type="pct"/>
            <w:gridSpan w:val="2"/>
            <w:shd w:val="clear" w:color="auto" w:fill="auto"/>
            <w:noWrap/>
            <w:hideMark/>
          </w:tcPr>
          <w:p w:rsidR="001F5FA8" w:rsidRPr="00D6441B" w:rsidRDefault="001F5FA8" w:rsidP="008D1314">
            <w:pPr>
              <w:widowControl w:val="0"/>
              <w:spacing w:after="0" w:line="240" w:lineRule="auto"/>
              <w:jc w:val="both"/>
              <w:rPr>
                <w:rFonts w:ascii="Times New Roman" w:hAnsi="Times New Roman"/>
                <w:b/>
                <w:bCs/>
                <w:sz w:val="24"/>
                <w:szCs w:val="24"/>
              </w:rPr>
            </w:pPr>
            <w:r w:rsidRPr="00D6441B">
              <w:rPr>
                <w:rFonts w:ascii="Times New Roman" w:hAnsi="Times New Roman"/>
                <w:b/>
                <w:bCs/>
                <w:sz w:val="24"/>
                <w:szCs w:val="24"/>
              </w:rPr>
              <w:t>1. Kimyevi Gübre + Humik Asit Uygulaması</w:t>
            </w:r>
          </w:p>
        </w:tc>
      </w:tr>
      <w:tr w:rsidR="001F5FA8" w:rsidRPr="00D6441B" w:rsidTr="008D1314">
        <w:trPr>
          <w:trHeight w:val="56"/>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Dekara kullanım</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Toplam doz (250 dekar)</w:t>
            </w:r>
          </w:p>
        </w:tc>
      </w:tr>
      <w:tr w:rsidR="001F5FA8" w:rsidRPr="00D6441B" w:rsidTr="008D1314">
        <w:trPr>
          <w:trHeight w:val="144"/>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Ekimle birlikte 20 kg/da Diamonyum Fosfat (DAP)</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5000 kg</w:t>
            </w:r>
          </w:p>
        </w:tc>
      </w:tr>
      <w:tr w:rsidR="001F5FA8" w:rsidRPr="00D6441B" w:rsidTr="008D1314">
        <w:trPr>
          <w:trHeight w:val="89"/>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Kardeşlenme döneminde 20 kg/da % 21 Amonyum sülfat</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5000 kg</w:t>
            </w:r>
          </w:p>
        </w:tc>
      </w:tr>
      <w:tr w:rsidR="001F5FA8" w:rsidRPr="00D6441B" w:rsidTr="008D1314">
        <w:trPr>
          <w:trHeight w:val="56"/>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Yabancı ot ilaçlamasıyla birlikte 1 lt/da Humik asit</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250 litre</w:t>
            </w:r>
          </w:p>
        </w:tc>
      </w:tr>
      <w:tr w:rsidR="001F5FA8" w:rsidRPr="00D6441B" w:rsidTr="008D1314">
        <w:trPr>
          <w:trHeight w:val="56"/>
        </w:trPr>
        <w:tc>
          <w:tcPr>
            <w:tcW w:w="5000" w:type="pct"/>
            <w:gridSpan w:val="2"/>
            <w:shd w:val="clear" w:color="auto" w:fill="auto"/>
            <w:noWrap/>
            <w:hideMark/>
          </w:tcPr>
          <w:p w:rsidR="001F5FA8" w:rsidRPr="00D6441B" w:rsidRDefault="001F5FA8" w:rsidP="008D1314">
            <w:pPr>
              <w:widowControl w:val="0"/>
              <w:spacing w:after="0" w:line="240" w:lineRule="auto"/>
              <w:jc w:val="both"/>
              <w:rPr>
                <w:rFonts w:ascii="Times New Roman" w:hAnsi="Times New Roman"/>
                <w:b/>
                <w:bCs/>
                <w:sz w:val="24"/>
                <w:szCs w:val="24"/>
              </w:rPr>
            </w:pPr>
            <w:r w:rsidRPr="00D6441B">
              <w:rPr>
                <w:rFonts w:ascii="Times New Roman" w:hAnsi="Times New Roman"/>
                <w:b/>
                <w:bCs/>
                <w:sz w:val="24"/>
                <w:szCs w:val="24"/>
              </w:rPr>
              <w:t>2. Bakteriyel Gübre (Bio-One) Uygulaması</w:t>
            </w:r>
          </w:p>
        </w:tc>
      </w:tr>
      <w:tr w:rsidR="001F5FA8" w:rsidRPr="00D6441B" w:rsidTr="008D1314">
        <w:trPr>
          <w:trHeight w:val="83"/>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Dekara kullanım</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Toplam doz (250 dekar)</w:t>
            </w:r>
          </w:p>
        </w:tc>
      </w:tr>
      <w:tr w:rsidR="001F5FA8" w:rsidRPr="00D6441B" w:rsidTr="008D1314">
        <w:trPr>
          <w:trHeight w:val="56"/>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Ekim öncesi 0,3 litre/da bakteriyel gübre</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75 litre</w:t>
            </w:r>
          </w:p>
        </w:tc>
      </w:tr>
      <w:tr w:rsidR="001F5FA8" w:rsidRPr="00D6441B" w:rsidTr="008D1314">
        <w:trPr>
          <w:trHeight w:val="118"/>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0,3 litre/da Glikoz</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250 litre</w:t>
            </w:r>
          </w:p>
        </w:tc>
      </w:tr>
      <w:tr w:rsidR="001F5FA8" w:rsidRPr="00D6441B" w:rsidTr="008D1314">
        <w:trPr>
          <w:trHeight w:val="56"/>
        </w:trPr>
        <w:tc>
          <w:tcPr>
            <w:tcW w:w="5000" w:type="pct"/>
            <w:gridSpan w:val="2"/>
            <w:shd w:val="clear" w:color="auto" w:fill="auto"/>
            <w:noWrap/>
            <w:hideMark/>
          </w:tcPr>
          <w:p w:rsidR="001F5FA8" w:rsidRPr="00D6441B" w:rsidRDefault="001F5FA8" w:rsidP="008D1314">
            <w:pPr>
              <w:widowControl w:val="0"/>
              <w:spacing w:after="0" w:line="240" w:lineRule="auto"/>
              <w:jc w:val="both"/>
              <w:rPr>
                <w:rFonts w:ascii="Times New Roman" w:hAnsi="Times New Roman"/>
                <w:b/>
                <w:bCs/>
                <w:sz w:val="24"/>
                <w:szCs w:val="24"/>
              </w:rPr>
            </w:pPr>
            <w:r w:rsidRPr="00D6441B">
              <w:rPr>
                <w:rFonts w:ascii="Times New Roman" w:hAnsi="Times New Roman"/>
                <w:b/>
                <w:bCs/>
                <w:sz w:val="24"/>
                <w:szCs w:val="24"/>
              </w:rPr>
              <w:t>3. Leonardit Uygulaması</w:t>
            </w:r>
          </w:p>
        </w:tc>
      </w:tr>
      <w:tr w:rsidR="001F5FA8" w:rsidRPr="00D6441B" w:rsidTr="008D1314">
        <w:trPr>
          <w:trHeight w:val="56"/>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Dekara kullanım</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Toplam doz (250 dekar)</w:t>
            </w:r>
          </w:p>
        </w:tc>
      </w:tr>
      <w:tr w:rsidR="001F5FA8" w:rsidRPr="00D6441B" w:rsidTr="008D1314">
        <w:trPr>
          <w:trHeight w:val="56"/>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Ekimle birlikte 20 kg/da</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5000 kg</w:t>
            </w:r>
          </w:p>
        </w:tc>
      </w:tr>
      <w:tr w:rsidR="001F5FA8" w:rsidRPr="00D6441B" w:rsidTr="008D1314">
        <w:trPr>
          <w:trHeight w:val="57"/>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Kardeşlenme döneminde 20 kg/da</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5000 kg</w:t>
            </w:r>
          </w:p>
        </w:tc>
      </w:tr>
      <w:tr w:rsidR="001F5FA8" w:rsidRPr="00D6441B" w:rsidTr="008D1314">
        <w:trPr>
          <w:trHeight w:val="56"/>
        </w:trPr>
        <w:tc>
          <w:tcPr>
            <w:tcW w:w="5000" w:type="pct"/>
            <w:gridSpan w:val="2"/>
            <w:shd w:val="clear" w:color="auto" w:fill="auto"/>
            <w:noWrap/>
            <w:hideMark/>
          </w:tcPr>
          <w:p w:rsidR="001F5FA8" w:rsidRPr="00D6441B" w:rsidRDefault="001F5FA8" w:rsidP="008D1314">
            <w:pPr>
              <w:widowControl w:val="0"/>
              <w:spacing w:after="0" w:line="240" w:lineRule="auto"/>
              <w:jc w:val="both"/>
              <w:rPr>
                <w:rFonts w:ascii="Times New Roman" w:hAnsi="Times New Roman"/>
                <w:b/>
                <w:bCs/>
                <w:sz w:val="24"/>
                <w:szCs w:val="24"/>
              </w:rPr>
            </w:pPr>
            <w:r w:rsidRPr="00D6441B">
              <w:rPr>
                <w:rFonts w:ascii="Times New Roman" w:hAnsi="Times New Roman"/>
                <w:b/>
                <w:bCs/>
                <w:sz w:val="24"/>
                <w:szCs w:val="24"/>
              </w:rPr>
              <w:t>4. Tavuk Gübresi + Biovital Uygulaması</w:t>
            </w:r>
          </w:p>
        </w:tc>
      </w:tr>
      <w:tr w:rsidR="001F5FA8" w:rsidRPr="00D6441B" w:rsidTr="008D1314">
        <w:trPr>
          <w:trHeight w:val="56"/>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Dekara kullanım</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Toplam doz (250 dekar)</w:t>
            </w:r>
          </w:p>
        </w:tc>
      </w:tr>
      <w:tr w:rsidR="001F5FA8" w:rsidRPr="00D6441B" w:rsidTr="008D1314">
        <w:trPr>
          <w:trHeight w:val="56"/>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Ekimle birlikte 100 kg/da</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25000 kg</w:t>
            </w:r>
          </w:p>
        </w:tc>
      </w:tr>
      <w:tr w:rsidR="001F5FA8" w:rsidRPr="00D6441B" w:rsidTr="008D1314">
        <w:trPr>
          <w:trHeight w:val="56"/>
        </w:trPr>
        <w:tc>
          <w:tcPr>
            <w:tcW w:w="3413"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Kardeşlenme döneminde 100 cc/da biovital</w:t>
            </w:r>
          </w:p>
        </w:tc>
        <w:tc>
          <w:tcPr>
            <w:tcW w:w="1587" w:type="pct"/>
            <w:shd w:val="clear" w:color="auto" w:fill="auto"/>
            <w:noWrap/>
            <w:hideMark/>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25000 cc</w:t>
            </w:r>
          </w:p>
        </w:tc>
      </w:tr>
    </w:tbl>
    <w:p w:rsidR="001F5FA8" w:rsidRPr="00D6441B" w:rsidRDefault="001F5FA8" w:rsidP="001F5FA8">
      <w:pPr>
        <w:widowControl w:val="0"/>
        <w:spacing w:before="120" w:after="120" w:line="240" w:lineRule="auto"/>
        <w:jc w:val="both"/>
        <w:rPr>
          <w:rFonts w:ascii="Times New Roman" w:hAnsi="Times New Roman"/>
          <w:b/>
          <w:bCs/>
          <w:sz w:val="24"/>
          <w:szCs w:val="24"/>
        </w:rPr>
      </w:pPr>
    </w:p>
    <w:p w:rsidR="001F5FA8" w:rsidRPr="00D6441B" w:rsidRDefault="001F5FA8" w:rsidP="001F5FA8">
      <w:pPr>
        <w:widowControl w:val="0"/>
        <w:spacing w:before="120" w:after="120" w:line="240" w:lineRule="auto"/>
        <w:jc w:val="both"/>
        <w:rPr>
          <w:rFonts w:ascii="Times New Roman" w:hAnsi="Times New Roman"/>
          <w:b/>
          <w:bCs/>
          <w:sz w:val="24"/>
          <w:szCs w:val="24"/>
        </w:rPr>
      </w:pPr>
    </w:p>
    <w:p w:rsidR="00DC2ADC" w:rsidRDefault="00DC2ADC" w:rsidP="001F5FA8">
      <w:pPr>
        <w:widowControl w:val="0"/>
        <w:spacing w:before="120" w:after="120" w:line="240" w:lineRule="auto"/>
        <w:jc w:val="both"/>
        <w:rPr>
          <w:rFonts w:ascii="Times New Roman" w:hAnsi="Times New Roman"/>
          <w:b/>
          <w:bCs/>
          <w:sz w:val="24"/>
          <w:szCs w:val="24"/>
        </w:rPr>
      </w:pPr>
    </w:p>
    <w:p w:rsidR="00DC2ADC" w:rsidRDefault="00DC2ADC" w:rsidP="001F5FA8">
      <w:pPr>
        <w:widowControl w:val="0"/>
        <w:spacing w:before="120" w:after="120" w:line="240" w:lineRule="auto"/>
        <w:jc w:val="both"/>
        <w:rPr>
          <w:rFonts w:ascii="Times New Roman" w:hAnsi="Times New Roman"/>
          <w:b/>
          <w:bCs/>
          <w:sz w:val="24"/>
          <w:szCs w:val="24"/>
        </w:rPr>
      </w:pPr>
    </w:p>
    <w:p w:rsidR="00DC2ADC" w:rsidRDefault="00DC2ADC" w:rsidP="001F5FA8">
      <w:pPr>
        <w:widowControl w:val="0"/>
        <w:spacing w:before="120" w:after="120" w:line="240" w:lineRule="auto"/>
        <w:jc w:val="both"/>
        <w:rPr>
          <w:rFonts w:ascii="Times New Roman" w:hAnsi="Times New Roman"/>
          <w:b/>
          <w:bCs/>
          <w:sz w:val="24"/>
          <w:szCs w:val="24"/>
        </w:rPr>
      </w:pPr>
    </w:p>
    <w:p w:rsidR="001F5FA8" w:rsidRPr="00D6441B" w:rsidRDefault="001F5FA8" w:rsidP="001F5FA8">
      <w:pPr>
        <w:widowControl w:val="0"/>
        <w:spacing w:before="120" w:after="120" w:line="240" w:lineRule="auto"/>
        <w:jc w:val="both"/>
        <w:rPr>
          <w:rFonts w:ascii="Times New Roman" w:hAnsi="Times New Roman"/>
          <w:b/>
          <w:bCs/>
          <w:sz w:val="24"/>
          <w:szCs w:val="24"/>
          <w:vertAlign w:val="superscript"/>
        </w:rPr>
      </w:pPr>
      <w:r w:rsidRPr="00D6441B">
        <w:rPr>
          <w:rFonts w:ascii="Times New Roman" w:hAnsi="Times New Roman"/>
          <w:b/>
          <w:bCs/>
          <w:sz w:val="24"/>
          <w:szCs w:val="24"/>
        </w:rPr>
        <w:lastRenderedPageBreak/>
        <w:t xml:space="preserve">Tablo 4. </w:t>
      </w:r>
      <w:r w:rsidRPr="00D6441B">
        <w:rPr>
          <w:rFonts w:ascii="Times New Roman" w:hAnsi="Times New Roman"/>
          <w:bCs/>
          <w:sz w:val="24"/>
          <w:szCs w:val="24"/>
        </w:rPr>
        <w:t>Uygulamalardan elde edilen değerler</w:t>
      </w:r>
      <w:r w:rsidRPr="00D6441B">
        <w:rPr>
          <w:rFonts w:ascii="Times New Roman" w:hAnsi="Times New Roman"/>
          <w:b/>
          <w:bCs/>
          <w:sz w:val="24"/>
          <w:szCs w:val="24"/>
          <w:vertAlign w:val="superscrip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1"/>
        <w:gridCol w:w="2898"/>
        <w:gridCol w:w="2770"/>
      </w:tblGrid>
      <w:tr w:rsidR="001F5FA8" w:rsidRPr="00D6441B" w:rsidTr="008D1314">
        <w:tc>
          <w:tcPr>
            <w:tcW w:w="2205" w:type="pct"/>
            <w:shd w:val="clear" w:color="auto" w:fill="auto"/>
          </w:tcPr>
          <w:p w:rsidR="001F5FA8" w:rsidRPr="00D6441B" w:rsidRDefault="001F5FA8" w:rsidP="008D1314">
            <w:pPr>
              <w:widowControl w:val="0"/>
              <w:spacing w:after="0" w:line="240" w:lineRule="auto"/>
              <w:jc w:val="both"/>
              <w:rPr>
                <w:rFonts w:ascii="Times New Roman" w:hAnsi="Times New Roman"/>
                <w:b/>
                <w:bCs/>
                <w:sz w:val="24"/>
                <w:szCs w:val="24"/>
              </w:rPr>
            </w:pPr>
            <w:r w:rsidRPr="00D6441B">
              <w:rPr>
                <w:rFonts w:ascii="Times New Roman" w:hAnsi="Times New Roman"/>
                <w:b/>
                <w:bCs/>
                <w:sz w:val="24"/>
                <w:szCs w:val="24"/>
              </w:rPr>
              <w:t>Uygulamalar</w:t>
            </w:r>
          </w:p>
        </w:tc>
        <w:tc>
          <w:tcPr>
            <w:tcW w:w="1429" w:type="pct"/>
            <w:shd w:val="clear" w:color="auto" w:fill="auto"/>
          </w:tcPr>
          <w:p w:rsidR="001F5FA8" w:rsidRPr="00D6441B" w:rsidRDefault="001F5FA8" w:rsidP="008D1314">
            <w:pPr>
              <w:widowControl w:val="0"/>
              <w:spacing w:after="0" w:line="240" w:lineRule="auto"/>
              <w:jc w:val="both"/>
              <w:rPr>
                <w:rFonts w:ascii="Times New Roman" w:hAnsi="Times New Roman"/>
                <w:b/>
                <w:sz w:val="24"/>
                <w:szCs w:val="24"/>
              </w:rPr>
            </w:pPr>
            <w:r w:rsidRPr="00D6441B">
              <w:rPr>
                <w:rFonts w:ascii="Times New Roman" w:hAnsi="Times New Roman"/>
                <w:b/>
                <w:sz w:val="24"/>
                <w:szCs w:val="24"/>
              </w:rPr>
              <w:t>Verim (kg/da)</w:t>
            </w:r>
          </w:p>
        </w:tc>
        <w:tc>
          <w:tcPr>
            <w:tcW w:w="1366" w:type="pct"/>
            <w:shd w:val="clear" w:color="auto" w:fill="auto"/>
          </w:tcPr>
          <w:p w:rsidR="001F5FA8" w:rsidRPr="00D6441B" w:rsidRDefault="001F5FA8" w:rsidP="008D1314">
            <w:pPr>
              <w:widowControl w:val="0"/>
              <w:spacing w:after="0" w:line="240" w:lineRule="auto"/>
              <w:jc w:val="both"/>
              <w:rPr>
                <w:rFonts w:ascii="Times New Roman" w:hAnsi="Times New Roman"/>
                <w:b/>
                <w:sz w:val="24"/>
                <w:szCs w:val="24"/>
              </w:rPr>
            </w:pPr>
            <w:r w:rsidRPr="00D6441B">
              <w:rPr>
                <w:rFonts w:ascii="Times New Roman" w:hAnsi="Times New Roman"/>
                <w:b/>
                <w:sz w:val="24"/>
                <w:szCs w:val="24"/>
              </w:rPr>
              <w:t>Bin tane ağırlığı (g)</w:t>
            </w:r>
          </w:p>
        </w:tc>
      </w:tr>
      <w:tr w:rsidR="001F5FA8" w:rsidRPr="00D6441B" w:rsidTr="008D1314">
        <w:tc>
          <w:tcPr>
            <w:tcW w:w="220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bCs/>
                <w:sz w:val="24"/>
                <w:szCs w:val="24"/>
              </w:rPr>
              <w:t>Kimyevi Gübre  + Humik Asit</w:t>
            </w:r>
          </w:p>
        </w:tc>
        <w:tc>
          <w:tcPr>
            <w:tcW w:w="1429"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342,23 ± 19,66 c</w:t>
            </w:r>
          </w:p>
        </w:tc>
        <w:tc>
          <w:tcPr>
            <w:tcW w:w="1366"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46,370 ± 4,998</w:t>
            </w:r>
          </w:p>
        </w:tc>
      </w:tr>
      <w:tr w:rsidR="001F5FA8" w:rsidRPr="00D6441B" w:rsidTr="008D1314">
        <w:tc>
          <w:tcPr>
            <w:tcW w:w="220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bCs/>
                <w:sz w:val="24"/>
                <w:szCs w:val="24"/>
              </w:rPr>
              <w:t xml:space="preserve">Bakteriyel Gübre (Bio-One) </w:t>
            </w:r>
          </w:p>
        </w:tc>
        <w:tc>
          <w:tcPr>
            <w:tcW w:w="1429"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197,10 ± 43,13 a</w:t>
            </w:r>
          </w:p>
        </w:tc>
        <w:tc>
          <w:tcPr>
            <w:tcW w:w="1366"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45,903 ± 3,314</w:t>
            </w:r>
          </w:p>
        </w:tc>
      </w:tr>
      <w:tr w:rsidR="001F5FA8" w:rsidRPr="00D6441B" w:rsidTr="008D1314">
        <w:tc>
          <w:tcPr>
            <w:tcW w:w="220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bCs/>
                <w:sz w:val="24"/>
                <w:szCs w:val="24"/>
              </w:rPr>
              <w:t>Leonardit</w:t>
            </w:r>
          </w:p>
        </w:tc>
        <w:tc>
          <w:tcPr>
            <w:tcW w:w="1429"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204,67 ± 44,33 a</w:t>
            </w:r>
          </w:p>
        </w:tc>
        <w:tc>
          <w:tcPr>
            <w:tcW w:w="1366"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46,507 ± 2,078</w:t>
            </w:r>
          </w:p>
        </w:tc>
      </w:tr>
      <w:tr w:rsidR="001F5FA8" w:rsidRPr="00D6441B" w:rsidTr="008D1314">
        <w:tc>
          <w:tcPr>
            <w:tcW w:w="2205"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bCs/>
                <w:sz w:val="24"/>
                <w:szCs w:val="24"/>
              </w:rPr>
              <w:t>Tavuk Gübresi + Biovital</w:t>
            </w:r>
          </w:p>
        </w:tc>
        <w:tc>
          <w:tcPr>
            <w:tcW w:w="1429"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 xml:space="preserve">284,93 ± 12,54 b </w:t>
            </w:r>
          </w:p>
        </w:tc>
        <w:tc>
          <w:tcPr>
            <w:tcW w:w="1366" w:type="pct"/>
            <w:shd w:val="clear" w:color="auto" w:fill="auto"/>
          </w:tcPr>
          <w:p w:rsidR="001F5FA8" w:rsidRPr="00D6441B" w:rsidRDefault="001F5FA8" w:rsidP="008D1314">
            <w:pPr>
              <w:widowControl w:val="0"/>
              <w:spacing w:after="0" w:line="240" w:lineRule="auto"/>
              <w:jc w:val="both"/>
              <w:rPr>
                <w:rFonts w:ascii="Times New Roman" w:hAnsi="Times New Roman"/>
                <w:sz w:val="24"/>
                <w:szCs w:val="24"/>
              </w:rPr>
            </w:pPr>
            <w:r w:rsidRPr="00D6441B">
              <w:rPr>
                <w:rFonts w:ascii="Times New Roman" w:hAnsi="Times New Roman"/>
                <w:sz w:val="24"/>
                <w:szCs w:val="24"/>
              </w:rPr>
              <w:t>47,690 ± 2,935</w:t>
            </w:r>
          </w:p>
        </w:tc>
      </w:tr>
    </w:tbl>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 Aynı sütunda farklı harflerle ifade edilen değerler arasındaki fark önemlidir (P&lt;0.05).</w:t>
      </w:r>
    </w:p>
    <w:p w:rsidR="00DC2ADC" w:rsidRDefault="00DC2ADC" w:rsidP="001F5FA8">
      <w:pPr>
        <w:widowControl w:val="0"/>
        <w:spacing w:before="120" w:after="120" w:line="240" w:lineRule="auto"/>
        <w:jc w:val="both"/>
        <w:rPr>
          <w:rFonts w:ascii="Times New Roman" w:hAnsi="Times New Roman"/>
          <w:sz w:val="24"/>
          <w:szCs w:val="24"/>
        </w:rPr>
        <w:sectPr w:rsidR="00DC2ADC" w:rsidSect="00E230BE">
          <w:type w:val="continuous"/>
          <w:pgSz w:w="11906" w:h="16838"/>
          <w:pgMar w:top="1417" w:right="849" w:bottom="1417" w:left="1134" w:header="708" w:footer="340" w:gutter="0"/>
          <w:cols w:space="708"/>
          <w:docGrid w:linePitch="360"/>
        </w:sectPr>
      </w:pPr>
    </w:p>
    <w:p w:rsidR="001F5FA8" w:rsidRPr="00D6441B" w:rsidRDefault="001F5FA8" w:rsidP="001F5FA8">
      <w:pPr>
        <w:widowControl w:val="0"/>
        <w:spacing w:before="120" w:after="120" w:line="240" w:lineRule="auto"/>
        <w:jc w:val="both"/>
        <w:rPr>
          <w:rFonts w:ascii="Times New Roman" w:hAnsi="Times New Roman"/>
          <w:sz w:val="24"/>
          <w:szCs w:val="24"/>
        </w:rPr>
      </w:pPr>
    </w:p>
    <w:p w:rsidR="00DC2ADC"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Bationa vd. (1993), organik artıkların verim ve bitki besin elementi içeriklerine etkisini belirlemek amacıyla yaptıkları çalışmada, toprağa karıştırılan organik artıkların darı veriminde artış sağladığını, bitkide N, P, K, Ca ve Mg içeriğini artırdığını, besin elementi artışının sapta danedekinden daha fazla olduğunu tespit etmişlerdir. Hsieh vd. (1994), tatlı biberin yetişmesi ve verimi üzerine organik gübrelerin etkisini belirlemek amacıyla yaptıkları çalışmada kimyasal gübre olarak 150 kg N+120 kg P</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5</w:t>
      </w:r>
      <w:r w:rsidRPr="00D6441B">
        <w:rPr>
          <w:rFonts w:ascii="Times New Roman" w:hAnsi="Times New Roman"/>
          <w:sz w:val="24"/>
          <w:szCs w:val="24"/>
        </w:rPr>
        <w:t>+150 kg K</w:t>
      </w:r>
      <w:r w:rsidRPr="00D6441B">
        <w:rPr>
          <w:rFonts w:ascii="Times New Roman" w:hAnsi="Times New Roman"/>
          <w:sz w:val="24"/>
          <w:szCs w:val="24"/>
          <w:vertAlign w:val="subscript"/>
        </w:rPr>
        <w:t>2</w:t>
      </w:r>
      <w:r w:rsidRPr="00D6441B">
        <w:rPr>
          <w:rFonts w:ascii="Times New Roman" w:hAnsi="Times New Roman"/>
          <w:sz w:val="24"/>
          <w:szCs w:val="24"/>
        </w:rPr>
        <w:t>O ha</w:t>
      </w:r>
      <w:r w:rsidRPr="00D6441B">
        <w:rPr>
          <w:rFonts w:ascii="Times New Roman" w:hAnsi="Times New Roman"/>
          <w:sz w:val="24"/>
          <w:szCs w:val="24"/>
          <w:vertAlign w:val="superscript"/>
        </w:rPr>
        <w:t>-1</w:t>
      </w:r>
      <w:r w:rsidRPr="00D6441B">
        <w:rPr>
          <w:rFonts w:ascii="Times New Roman" w:hAnsi="Times New Roman"/>
          <w:sz w:val="24"/>
          <w:szCs w:val="24"/>
        </w:rPr>
        <w:t xml:space="preserve"> ve buna eşdeğer oranda organik gübreler (tavuk gübresi, domuz gübresi, fermente edilmiş atık yağ, pirinç kabuğu, pirinç samanı) uygulamışlardır. Uygulanan kimyasal gübrelere oranla organik gübreler bitki yüksekliği, meyve miktarı, meyve büyüklüğü, meyve sayısı ve verimi önemli seviyede artırmıştır. Bununla beraber organik gübreler meyvedeki Fe ve Mn oranlarını düşürmüştür. Kütük ve Topçuoğlu (1997), yaptıkları tarla denemesinde toprağa değişik oranlarda uygulanan organik gübrelerle (koyun, sığır ve tavuk gübreleri) ticari amonyum nitrat gübresinin ıspanak bitkisinde toplam ve suda çözünebilir oksalik asit, kalsiyum, toplam azot ve organik bağlı azot içerikleri üzerine etkilerini incelemişlerdir. Araştırma sonucunda, amonyum nitrat gübresinin toprağın sadece toplam azot içeriği ile NH4-N ve NO3-N’u içeriklerini artırdığını buna karşın uygulanan organik gübrelerin organik madde ve toplam azot başta olmak üzere toprağın NH4-N ve NO3-N, toplam P, toplam K ve Ca içeriğini yükselttiğini saptamışlardır. Kara ve Erel (1999), laboratuvar şartlarında tavuk gübresinin toprağa uygulanmasıyla, toprağın bazı özellikleri ile yulaf bitkisinin verimine olan etkisini araştırmışlardır. Farklı dozlarda tavuk gübresi </w:t>
      </w:r>
    </w:p>
    <w:p w:rsidR="00DC2ADC" w:rsidRDefault="00DC2ADC" w:rsidP="001F5FA8">
      <w:pPr>
        <w:widowControl w:val="0"/>
        <w:spacing w:before="120" w:after="120" w:line="240" w:lineRule="auto"/>
        <w:jc w:val="both"/>
        <w:rPr>
          <w:rFonts w:ascii="Times New Roman" w:hAnsi="Times New Roman"/>
          <w:sz w:val="24"/>
          <w:szCs w:val="24"/>
        </w:rPr>
      </w:pP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uygulanarak 84 gün inkübasyona bırakılan topraklarda pH ve suda çözünebilir toplam tuz ile Fe, Cu, Zn, Mn içerikleri tayin edilmiştir. Araştırma sonucuna göre, artan tavuk gübresi dozlarına bağlı olarak, toprakların suda çözünebilir toplam tuz, Fe ve Zn içeriğinin arttığını, buna karşılık toprak pH’sı ve Cu içeriğinin azaldığı Mn içeriğinin ise değişmediğini tespit etmişlerdir. Ayrıca tavuk gübresinin yulafın kuru bitki ağırlığını artırdığını saptamışlardır.</w:t>
      </w:r>
    </w:p>
    <w:p w:rsidR="001F5FA8" w:rsidRPr="00D6441B" w:rsidRDefault="001F5FA8" w:rsidP="001F5FA8">
      <w:pPr>
        <w:widowControl w:val="0"/>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Tavuk gübresi uzun yıllardan bu yana toprağın organik maddesini artırmak ve gübre ihtiyacını karşılamak amacıyla tarımda kullanılmaktadır. Tavuk gübresinin bilinçsiz bir şekilde bitkisel üretimde kullanılması sonucu üreticiler zaman zaman çeşitli problemlerle karşılaşabilmektedirler. Tavuk gübresinin yüksek tuzluluğu kullanımını sınırlayan en önemli faktörlerdendir. Ekim öncesi uygulanan tavuk gübresi tohum yatağında ozmotik basıncı yükselteceğinden ekilecek tohumun çimlenme ve çıkısını azaltacaktır. Bu durumda birim alandaki bitki sayısı düşeceğinden verim düşecektir. Yetersiz çıkış olması durumunda tekrar ekim yapılabilmekte ise de bu durum hem maliyeti yükseltmekte, hem de bitkinin vejetasyon süresinin kısalmasına neden olabilmektedir.</w:t>
      </w:r>
    </w:p>
    <w:p w:rsidR="001F5FA8" w:rsidRPr="00D6441B" w:rsidRDefault="001F5FA8" w:rsidP="001F5FA8">
      <w:pPr>
        <w:widowControl w:val="0"/>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Şeker ve Ersoy (2005), sera şartlarında çöp kompostu, sığır gübresi, tavuk gübresi ve leonarditin farklı dozlarının toprak özellikleri ve mısır bitkisinin gelişimine etkilerini araştırmışlardır. Araştırma sonucunda kullanılan organik gübrenin çeşidi ve dozlarının toprak özellikleri ile mısırın gelişimini etkilediğini saptamışlardır. Mısır bitkisinin verim unsurları ile boy uzunluğu üzerine en fazla etkiyi tavuk gübresi yapmıştır. </w:t>
      </w:r>
      <w:r w:rsidRPr="00D6441B">
        <w:rPr>
          <w:rFonts w:ascii="Times New Roman" w:hAnsi="Times New Roman"/>
          <w:sz w:val="24"/>
          <w:szCs w:val="24"/>
        </w:rPr>
        <w:lastRenderedPageBreak/>
        <w:t xml:space="preserve">Araştırmada kullanılan tavuk gübresi + biovital uygulamasından elde edilen verim değerlerinin genel literatür bildirimleri ile uyum içinde olduğu gözlenmektedir. Geleneksel kimyevi gübre uygulaması ile karşılaştırıldığında elde edilen verim değerinin düşük olması olumsuz gibi gözükmesine karşılık gerek çevre ilişkisi ve gerekse maliyet unsurları bakımından kimyevi gübre uygulamasına alternatif olacak bir özellik taşımaktadır. Leonardit ve bakteriyal gübre uygulaması ile karşılaştırıldığında tavuk gübresinden elde edilen sonucun yüksekliği Şeker ve Ersoy (2005)’in bulguları ile uyum içindedir. </w:t>
      </w:r>
    </w:p>
    <w:p w:rsidR="001F5FA8" w:rsidRPr="00D6441B" w:rsidRDefault="001F5FA8" w:rsidP="001F5FA8">
      <w:pPr>
        <w:widowControl w:val="0"/>
        <w:spacing w:before="120" w:after="120" w:line="240" w:lineRule="auto"/>
        <w:jc w:val="both"/>
        <w:rPr>
          <w:rFonts w:ascii="Times New Roman" w:hAnsi="Times New Roman"/>
          <w:sz w:val="24"/>
          <w:szCs w:val="24"/>
        </w:rPr>
      </w:pPr>
    </w:p>
    <w:p w:rsidR="001F5FA8" w:rsidRPr="00D6441B" w:rsidRDefault="001F5FA8" w:rsidP="001F5FA8">
      <w:pPr>
        <w:widowControl w:val="0"/>
        <w:spacing w:before="120" w:after="120" w:line="240" w:lineRule="auto"/>
        <w:jc w:val="both"/>
        <w:rPr>
          <w:rFonts w:ascii="Times New Roman" w:hAnsi="Times New Roman"/>
          <w:b/>
          <w:sz w:val="24"/>
          <w:szCs w:val="24"/>
        </w:rPr>
      </w:pPr>
      <w:r w:rsidRPr="00D6441B">
        <w:rPr>
          <w:rFonts w:ascii="Times New Roman" w:hAnsi="Times New Roman"/>
          <w:b/>
          <w:sz w:val="24"/>
          <w:szCs w:val="24"/>
        </w:rPr>
        <w:t>5. SONUÇ</w:t>
      </w:r>
    </w:p>
    <w:p w:rsidR="001F5FA8" w:rsidRPr="00D6441B" w:rsidRDefault="001F5FA8" w:rsidP="001F5FA8">
      <w:pPr>
        <w:widowControl w:val="0"/>
        <w:spacing w:before="120" w:after="120" w:line="240" w:lineRule="auto"/>
        <w:jc w:val="both"/>
        <w:rPr>
          <w:rFonts w:ascii="Times New Roman" w:hAnsi="Times New Roman"/>
          <w:b/>
          <w:sz w:val="24"/>
          <w:szCs w:val="24"/>
        </w:rPr>
      </w:pPr>
    </w:p>
    <w:p w:rsidR="001F5FA8" w:rsidRPr="00D6441B" w:rsidRDefault="001F5FA8" w:rsidP="001F5FA8">
      <w:pPr>
        <w:widowControl w:val="0"/>
        <w:spacing w:before="120" w:after="120" w:line="240" w:lineRule="auto"/>
        <w:jc w:val="both"/>
        <w:rPr>
          <w:rFonts w:ascii="Times New Roman" w:hAnsi="Times New Roman"/>
          <w:sz w:val="24"/>
          <w:szCs w:val="24"/>
        </w:rPr>
      </w:pPr>
      <w:r w:rsidRPr="00D6441B">
        <w:rPr>
          <w:rFonts w:ascii="Times New Roman" w:hAnsi="Times New Roman"/>
          <w:sz w:val="24"/>
          <w:szCs w:val="24"/>
        </w:rPr>
        <w:t>Sonuç olarak kimyevi gübrenin maliyeti ve toprak için kimi zaman zararlı etkileri, organik üretim için uyumsuzluğu gibi nedenlerden dolayı bu çalışmada, Sivas yöresinde arpa üretiminde uygulanan geleneksel kimyevi gübre uygulamasına alternatif olacak gübre uygulamaları üzerinde durulmuştur. Maliyet analizleri yöresel uygulamalara ve bölgeye göre değişeceğinden, elde edilen verim değerleri üzerinden hareket edildiğinde tavuk gübresinin geleneksel kimyevi gübre uygulamasına alternatif olabileceği kanaati oluşmuştur.</w:t>
      </w:r>
    </w:p>
    <w:p w:rsidR="001F5FA8" w:rsidRPr="00D6441B" w:rsidRDefault="001F5FA8" w:rsidP="001F5FA8">
      <w:pPr>
        <w:widowControl w:val="0"/>
        <w:spacing w:before="120" w:after="120" w:line="240" w:lineRule="auto"/>
        <w:jc w:val="both"/>
        <w:rPr>
          <w:rFonts w:ascii="Times New Roman" w:hAnsi="Times New Roman"/>
          <w:sz w:val="24"/>
          <w:szCs w:val="24"/>
        </w:rPr>
      </w:pPr>
    </w:p>
    <w:p w:rsidR="001F5FA8" w:rsidRPr="00D6441B" w:rsidRDefault="001F5FA8" w:rsidP="00DC2ADC">
      <w:pPr>
        <w:widowControl w:val="0"/>
        <w:spacing w:before="120" w:after="120" w:line="240" w:lineRule="auto"/>
        <w:ind w:left="567" w:hanging="567"/>
        <w:jc w:val="both"/>
        <w:rPr>
          <w:rFonts w:ascii="Times New Roman" w:hAnsi="Times New Roman"/>
          <w:b/>
          <w:sz w:val="24"/>
          <w:szCs w:val="24"/>
        </w:rPr>
      </w:pPr>
      <w:r w:rsidRPr="00D6441B">
        <w:rPr>
          <w:rFonts w:ascii="Times New Roman" w:hAnsi="Times New Roman"/>
          <w:b/>
          <w:sz w:val="24"/>
          <w:szCs w:val="24"/>
        </w:rPr>
        <w:t>KAYNAKLAR</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Akkaya, C., </w:t>
      </w:r>
      <w:r w:rsidRPr="00D6441B">
        <w:rPr>
          <w:rFonts w:ascii="Times New Roman" w:hAnsi="Times New Roman"/>
          <w:i/>
          <w:sz w:val="24"/>
          <w:szCs w:val="24"/>
        </w:rPr>
        <w:t>Isparta İli Yumurta Tavukçuluğu ve Etlik Piliç Yetiştiriciliğinde Kullanılan Kümes ve Alet-Ekipman Tiplerinin Araştırılması,</w:t>
      </w:r>
      <w:r w:rsidRPr="00D6441B">
        <w:rPr>
          <w:rFonts w:ascii="Times New Roman" w:hAnsi="Times New Roman"/>
          <w:sz w:val="24"/>
          <w:szCs w:val="24"/>
        </w:rPr>
        <w:t xml:space="preserve"> Süleyman Demirel Üniversitesi, Zootekni Ana Bilim Dalı Yüksek Lisans Tezi, Isparta, 2002.</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Aksoy, U., </w:t>
      </w:r>
      <w:r w:rsidRPr="00D6441B">
        <w:rPr>
          <w:rFonts w:ascii="Times New Roman" w:hAnsi="Times New Roman"/>
          <w:i/>
          <w:sz w:val="24"/>
          <w:szCs w:val="24"/>
        </w:rPr>
        <w:t>Ekolojik Tarımdaki Gelişmeler</w:t>
      </w:r>
      <w:r w:rsidRPr="00D6441B">
        <w:rPr>
          <w:rFonts w:ascii="Times New Roman" w:hAnsi="Times New Roman"/>
          <w:sz w:val="24"/>
          <w:szCs w:val="24"/>
        </w:rPr>
        <w:t>, Ekolojik Tarım Organizasyonu Derneği Yayınları, Emre Basımevi, İzmir, 1999.</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Alyanak, İ., Filibeli, A., “Tavuk Çiftliği Artıklarının Çevre Etkilerinin Önlenmesi ve Yararlı Hale Getirilmesi Alternatifleri”, Uluslararası Çevre’87 Sempozyumu, Başbakanlık Çevre Genel </w:t>
      </w:r>
      <w:r w:rsidRPr="00D6441B">
        <w:rPr>
          <w:rFonts w:ascii="Times New Roman" w:hAnsi="Times New Roman"/>
          <w:sz w:val="24"/>
          <w:szCs w:val="24"/>
        </w:rPr>
        <w:lastRenderedPageBreak/>
        <w:t>Müdürlüğü, Boğaziçi Üniversitesi, Mühendislik Fakültesi, Atık ve Kirlenme Denetimi Araştırma Grubu. 79-93, İstanbul, 1987.</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Amanullah, MM., “N Release Pattern in Poultry Manured Soil”, </w:t>
      </w:r>
      <w:r w:rsidRPr="00D6441B">
        <w:rPr>
          <w:rFonts w:ascii="Times New Roman" w:hAnsi="Times New Roman"/>
          <w:i/>
          <w:sz w:val="24"/>
          <w:szCs w:val="24"/>
        </w:rPr>
        <w:t>J. Applied Sci. Res</w:t>
      </w:r>
      <w:r w:rsidRPr="00D6441B">
        <w:rPr>
          <w:rFonts w:ascii="Times New Roman" w:hAnsi="Times New Roman"/>
          <w:sz w:val="24"/>
          <w:szCs w:val="24"/>
        </w:rPr>
        <w:t>., 3, 1094-1096, 2007.</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Amanullah, MM., Sekar, S. ve Muthukrishnan, P., “Prospects and Potantial of Poultry Manure”, </w:t>
      </w:r>
      <w:r w:rsidRPr="00D6441B">
        <w:rPr>
          <w:rFonts w:ascii="Times New Roman" w:hAnsi="Times New Roman"/>
          <w:i/>
          <w:sz w:val="24"/>
          <w:szCs w:val="24"/>
        </w:rPr>
        <w:t>Asian J.Plant Sci.,</w:t>
      </w:r>
      <w:r w:rsidRPr="00D6441B">
        <w:rPr>
          <w:rFonts w:ascii="Times New Roman" w:hAnsi="Times New Roman"/>
          <w:sz w:val="24"/>
          <w:szCs w:val="24"/>
        </w:rPr>
        <w:t>9(4), 172 – 182, 2010.</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ASAE D384.1, </w:t>
      </w:r>
      <w:r w:rsidRPr="00D6441B">
        <w:rPr>
          <w:rFonts w:ascii="Times New Roman" w:hAnsi="Times New Roman"/>
          <w:i/>
          <w:sz w:val="24"/>
          <w:szCs w:val="24"/>
        </w:rPr>
        <w:t>Manure Production and Characteristics</w:t>
      </w:r>
      <w:r w:rsidRPr="00D6441B">
        <w:rPr>
          <w:rFonts w:ascii="Times New Roman" w:hAnsi="Times New Roman"/>
          <w:sz w:val="24"/>
          <w:szCs w:val="24"/>
        </w:rPr>
        <w:t>, In: ASAE STANDARDS, ASAE. St. Joseph, MI 49085-9659, 1998.</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Asyalı, N., “Kuluçkahane ve Kesimhane Artıklarının Değerlendirilmesi Olanakları”, </w:t>
      </w:r>
      <w:r w:rsidRPr="00D6441B">
        <w:rPr>
          <w:rFonts w:ascii="Times New Roman" w:hAnsi="Times New Roman"/>
          <w:i/>
          <w:sz w:val="24"/>
          <w:szCs w:val="24"/>
        </w:rPr>
        <w:t>Tavukçulukta Verimlilik sempozyumu</w:t>
      </w:r>
      <w:r w:rsidRPr="00D6441B">
        <w:rPr>
          <w:rFonts w:ascii="Times New Roman" w:hAnsi="Times New Roman"/>
          <w:sz w:val="24"/>
          <w:szCs w:val="24"/>
        </w:rPr>
        <w:t>, 67, 1992.</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Barker, JC.. “Lagoon Design and Management For Livestock Waste Treatment and Storage”, </w:t>
      </w:r>
      <w:r w:rsidRPr="00D6441B">
        <w:rPr>
          <w:rFonts w:ascii="Times New Roman" w:hAnsi="Times New Roman"/>
          <w:i/>
          <w:sz w:val="24"/>
          <w:szCs w:val="24"/>
        </w:rPr>
        <w:t>North Carolina State Univ. Coop. Ext. Serv. Publ</w:t>
      </w:r>
      <w:r w:rsidRPr="00D6441B">
        <w:rPr>
          <w:rFonts w:ascii="Times New Roman" w:hAnsi="Times New Roman"/>
          <w:sz w:val="24"/>
          <w:szCs w:val="24"/>
        </w:rPr>
        <w:t>.,103-83. Raleigh, North Carolina. 8 p, 1996.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Bationa, A., Christianson, C.B., M.C., Klaij, “The effect of crop residue and fertilizer use on pearl millet yields in Niger”,  </w:t>
      </w:r>
      <w:r w:rsidRPr="00D6441B">
        <w:rPr>
          <w:rFonts w:ascii="Times New Roman" w:hAnsi="Times New Roman"/>
          <w:i/>
          <w:sz w:val="24"/>
          <w:szCs w:val="24"/>
        </w:rPr>
        <w:t>Fertilizer Research</w:t>
      </w:r>
      <w:r w:rsidRPr="00D6441B">
        <w:rPr>
          <w:rFonts w:ascii="Times New Roman" w:hAnsi="Times New Roman"/>
          <w:sz w:val="24"/>
          <w:szCs w:val="24"/>
        </w:rPr>
        <w:t xml:space="preserve"> 34, 251-258, 1993.</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Bengston, LP., Whitaker, J. H., “Structure in tropical climates, Food and Agricultural Organization of The United Nations”, </w:t>
      </w:r>
      <w:r w:rsidRPr="00D6441B">
        <w:rPr>
          <w:rFonts w:ascii="Times New Roman" w:hAnsi="Times New Roman"/>
          <w:i/>
          <w:sz w:val="24"/>
          <w:szCs w:val="24"/>
        </w:rPr>
        <w:t>Rome</w:t>
      </w:r>
      <w:r w:rsidRPr="00D6441B">
        <w:rPr>
          <w:rFonts w:ascii="Times New Roman" w:hAnsi="Times New Roman"/>
          <w:sz w:val="24"/>
          <w:szCs w:val="24"/>
        </w:rPr>
        <w:t>, 40, 42 p, 1986.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Blake, JP., “Tavukçuluk Artıklarını Değerlendirme Yöntemleri”, Çeviren Mesut Türkoğlu, </w:t>
      </w:r>
      <w:r w:rsidRPr="00D6441B">
        <w:rPr>
          <w:rFonts w:ascii="Times New Roman" w:hAnsi="Times New Roman"/>
          <w:i/>
          <w:sz w:val="24"/>
          <w:szCs w:val="24"/>
        </w:rPr>
        <w:t>Uluslararası Tavukçuluk Kongresi Yutav 93</w:t>
      </w:r>
      <w:r w:rsidRPr="00D6441B">
        <w:rPr>
          <w:rFonts w:ascii="Times New Roman" w:hAnsi="Times New Roman"/>
          <w:sz w:val="24"/>
          <w:szCs w:val="24"/>
        </w:rPr>
        <w:t>, İstanbul, 106-117, 1993.</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Bonner, J., Thomas, J., Crenshaw, M., McKinley, B., Burcham. T.N., “Managing Animal Waste Nutrients”, Mississippi State Univ. Coop. Ext. Serv. Mississippi State, </w:t>
      </w:r>
      <w:r w:rsidRPr="00D6441B">
        <w:rPr>
          <w:rFonts w:ascii="Times New Roman" w:hAnsi="Times New Roman"/>
          <w:i/>
          <w:sz w:val="24"/>
          <w:szCs w:val="24"/>
        </w:rPr>
        <w:t>Mississippi. Publ.</w:t>
      </w:r>
      <w:r w:rsidRPr="00D6441B">
        <w:rPr>
          <w:rFonts w:ascii="Times New Roman" w:hAnsi="Times New Roman"/>
          <w:sz w:val="24"/>
          <w:szCs w:val="24"/>
        </w:rPr>
        <w:t xml:space="preserve"> No: 1937, p.59, 1995.</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Brady, NC., Weil, RR., </w:t>
      </w:r>
      <w:r w:rsidRPr="00D6441B">
        <w:rPr>
          <w:rFonts w:ascii="Times New Roman" w:hAnsi="Times New Roman"/>
          <w:i/>
          <w:sz w:val="24"/>
          <w:szCs w:val="24"/>
        </w:rPr>
        <w:t>The nature and properties of soils</w:t>
      </w:r>
      <w:r w:rsidRPr="00D6441B">
        <w:rPr>
          <w:rFonts w:ascii="Times New Roman" w:hAnsi="Times New Roman"/>
          <w:sz w:val="24"/>
          <w:szCs w:val="24"/>
        </w:rPr>
        <w:t>, 11</w:t>
      </w:r>
      <w:r w:rsidRPr="00D6441B">
        <w:rPr>
          <w:rFonts w:ascii="Times New Roman" w:hAnsi="Times New Roman"/>
          <w:sz w:val="24"/>
          <w:szCs w:val="24"/>
          <w:vertAlign w:val="superscript"/>
        </w:rPr>
        <w:t>th</w:t>
      </w:r>
      <w:r w:rsidRPr="00D6441B">
        <w:rPr>
          <w:rFonts w:ascii="Times New Roman" w:hAnsi="Times New Roman"/>
          <w:sz w:val="24"/>
          <w:szCs w:val="24"/>
        </w:rPr>
        <w:t xml:space="preserve"> Edition, Prentice Hall International, Inc., 1996.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lastRenderedPageBreak/>
        <w:t xml:space="preserve">Chescheir, PW., Westserman, LM., Safley, LM., “Laboratory methods for estimating available nitrogen in manures and sludges”, </w:t>
      </w:r>
      <w:r w:rsidRPr="00D6441B">
        <w:rPr>
          <w:rFonts w:ascii="Times New Roman" w:hAnsi="Times New Roman"/>
          <w:i/>
          <w:sz w:val="24"/>
          <w:szCs w:val="24"/>
        </w:rPr>
        <w:t>Agric. Wastes</w:t>
      </w:r>
      <w:r w:rsidRPr="00D6441B">
        <w:rPr>
          <w:rFonts w:ascii="Times New Roman" w:hAnsi="Times New Roman"/>
          <w:sz w:val="24"/>
          <w:szCs w:val="24"/>
        </w:rPr>
        <w:t xml:space="preserve"> 18, 175-195, 1986.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Çivit, B., “</w:t>
      </w:r>
      <w:r w:rsidRPr="00D6441B">
        <w:rPr>
          <w:rFonts w:ascii="Times New Roman" w:hAnsi="Times New Roman"/>
          <w:i/>
          <w:sz w:val="24"/>
          <w:szCs w:val="24"/>
        </w:rPr>
        <w:t>Bazı Doğal Maddelerin (Gidya, Zeolit Ve Leonardit) Marulda (Lactuca Sativa L. Var Longifolia) Verim ve Büyüme Üzerine Etkisi</w:t>
      </w:r>
      <w:r w:rsidRPr="00D6441B">
        <w:rPr>
          <w:rFonts w:ascii="Times New Roman" w:hAnsi="Times New Roman"/>
          <w:sz w:val="24"/>
          <w:szCs w:val="24"/>
        </w:rPr>
        <w:t>”, Kahramanmaraş Sütçü İmam Üniversitesi, Fen Bilimleri Enstitüsü, Bahçe Bitkileri Anabilim Dalı, Yüksek Lisans Tezi, 2010.</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Demirulus, H., Aydın, A., “Tavukçuluk Artık ve Atık Maddelerinin İşlenerek Çevre Kirliliğinin Azaltılması”, </w:t>
      </w:r>
      <w:r w:rsidRPr="00D6441B">
        <w:rPr>
          <w:rFonts w:ascii="Times New Roman" w:hAnsi="Times New Roman"/>
          <w:i/>
          <w:sz w:val="24"/>
          <w:szCs w:val="24"/>
        </w:rPr>
        <w:t>Ekoloji Çevre Dergisi</w:t>
      </w:r>
      <w:r w:rsidRPr="00D6441B">
        <w:rPr>
          <w:rFonts w:ascii="Times New Roman" w:hAnsi="Times New Roman"/>
          <w:sz w:val="24"/>
          <w:szCs w:val="24"/>
        </w:rPr>
        <w:t>, Nisan – Mayıs – Haziran, Sayı:19, 1996.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Dikinya, O., Mufwanzala, N., “Chicken manure-enhanced soil fertility and productivity: Effects of application rates”, </w:t>
      </w:r>
      <w:r w:rsidRPr="00D6441B">
        <w:rPr>
          <w:rFonts w:ascii="Times New Roman" w:hAnsi="Times New Roman"/>
          <w:i/>
          <w:sz w:val="24"/>
          <w:szCs w:val="24"/>
        </w:rPr>
        <w:t>Journal of Soil Science and Environmental Management</w:t>
      </w:r>
      <w:r w:rsidRPr="00D6441B">
        <w:rPr>
          <w:rFonts w:ascii="Times New Roman" w:hAnsi="Times New Roman"/>
          <w:sz w:val="24"/>
          <w:szCs w:val="24"/>
        </w:rPr>
        <w:t xml:space="preserve"> Vol. 1(3), pp. 46-54, 2010.</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Dinç, U., Şenol, S., Kapur, S., Cangir, C., Atalay, İ., </w:t>
      </w:r>
      <w:r w:rsidRPr="00D6441B">
        <w:rPr>
          <w:rFonts w:ascii="Times New Roman" w:hAnsi="Times New Roman"/>
          <w:i/>
          <w:sz w:val="24"/>
          <w:szCs w:val="24"/>
        </w:rPr>
        <w:t>Türkiye Toprakları</w:t>
      </w:r>
      <w:r w:rsidRPr="00D6441B">
        <w:rPr>
          <w:rFonts w:ascii="Times New Roman" w:hAnsi="Times New Roman"/>
          <w:sz w:val="24"/>
          <w:szCs w:val="24"/>
        </w:rPr>
        <w:t>, Ç.Ü. Ziraat Fakültesi Genel Yayın No: 51, Adana, 2001.</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Düzgüneş, O., Kesici, T., Kavuncu, O ve Gürbüz, F., </w:t>
      </w:r>
      <w:r w:rsidRPr="00D6441B">
        <w:rPr>
          <w:rFonts w:ascii="Times New Roman" w:hAnsi="Times New Roman"/>
          <w:i/>
          <w:sz w:val="24"/>
          <w:szCs w:val="24"/>
        </w:rPr>
        <w:t>Araştırma ve Deneme Metotları (İstatistik Metotları- II),</w:t>
      </w:r>
      <w:r w:rsidRPr="00D6441B">
        <w:rPr>
          <w:rFonts w:ascii="Times New Roman" w:hAnsi="Times New Roman"/>
          <w:sz w:val="24"/>
          <w:szCs w:val="24"/>
        </w:rPr>
        <w:t xml:space="preserve">  Ankara Üniversitesi Ziraat Fakültesi Yayınları: 1021, Ankara, 381s., 1987.</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Edwards, DR., Daniel, TC., “Environmental impacts of on-farm poultry waste disposal: A Review”, </w:t>
      </w:r>
      <w:r w:rsidRPr="00D6441B">
        <w:rPr>
          <w:rFonts w:ascii="Times New Roman" w:hAnsi="Times New Roman"/>
          <w:i/>
          <w:sz w:val="24"/>
          <w:szCs w:val="24"/>
        </w:rPr>
        <w:t>Bioresource Technol</w:t>
      </w:r>
      <w:r w:rsidRPr="00D6441B">
        <w:rPr>
          <w:rFonts w:ascii="Times New Roman" w:hAnsi="Times New Roman"/>
          <w:sz w:val="24"/>
          <w:szCs w:val="24"/>
        </w:rPr>
        <w:t>. 41: 9-33, 1992.</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Genç, A., “</w:t>
      </w:r>
      <w:r w:rsidRPr="00D6441B">
        <w:rPr>
          <w:rFonts w:ascii="Times New Roman" w:hAnsi="Times New Roman"/>
          <w:i/>
          <w:sz w:val="24"/>
          <w:szCs w:val="24"/>
        </w:rPr>
        <w:t>Ekolojik Tarımda Kullanılabilecek Bazı Mineraller ve Bunların Mikoriza ve Kompost İle Aktive Edilmesi Üzerinde Bir Çalışma</w:t>
      </w:r>
      <w:r w:rsidRPr="00D6441B">
        <w:rPr>
          <w:rFonts w:ascii="Times New Roman" w:hAnsi="Times New Roman"/>
          <w:sz w:val="24"/>
          <w:szCs w:val="24"/>
        </w:rPr>
        <w:t>”, Çukurova Üniversitesi, Fen Bilimleri Enstitüsü, Toprak Anabilim Dalı, Yüksek Lisans Tezi, 2006.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Gül, N., “</w:t>
      </w:r>
      <w:r w:rsidRPr="00D6441B">
        <w:rPr>
          <w:rFonts w:ascii="Times New Roman" w:hAnsi="Times New Roman"/>
          <w:i/>
          <w:sz w:val="24"/>
          <w:szCs w:val="24"/>
        </w:rPr>
        <w:t xml:space="preserve">Tavuk Gübresinden Biyogaz Üretim Potansiyelinin Araştırılması”, </w:t>
      </w:r>
      <w:r w:rsidRPr="00D6441B">
        <w:rPr>
          <w:rFonts w:ascii="Times New Roman" w:hAnsi="Times New Roman"/>
          <w:sz w:val="24"/>
          <w:szCs w:val="24"/>
        </w:rPr>
        <w:t>Süleyman Demirel Üniversitesi, Çevre Mühendisliği Anabilim Dalı, Yüksek Lisans Tezi, Isparta, 2006.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lastRenderedPageBreak/>
        <w:t xml:space="preserve">Hsieh, C., Hsieh, CF. ve Hsu-KN., “Effect of organic manures on the growth and yield of sweet pepper”, </w:t>
      </w:r>
      <w:r w:rsidRPr="00D6441B">
        <w:rPr>
          <w:rFonts w:ascii="Times New Roman" w:hAnsi="Times New Roman"/>
          <w:i/>
          <w:sz w:val="24"/>
          <w:szCs w:val="24"/>
        </w:rPr>
        <w:t>Bulletin of Technique District Agric. Improv. Station</w:t>
      </w:r>
      <w:r w:rsidRPr="00D6441B">
        <w:rPr>
          <w:rFonts w:ascii="Times New Roman" w:hAnsi="Times New Roman"/>
          <w:sz w:val="24"/>
          <w:szCs w:val="24"/>
        </w:rPr>
        <w:t>, 42, 1-10, 1994.</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John, PC., James, JC., John, EA., “Nutrient Content of Livestock and Poultry Manure”, Clemson University, http://www.clemson.edu/cafls/departments/biosystemseng/faculty_staff/research/chastain_nutrient_content_manure.pdf, 2001.</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Kacar, B., </w:t>
      </w:r>
      <w:r w:rsidRPr="00D6441B">
        <w:rPr>
          <w:rFonts w:ascii="Times New Roman" w:hAnsi="Times New Roman"/>
          <w:i/>
          <w:sz w:val="24"/>
          <w:szCs w:val="24"/>
        </w:rPr>
        <w:t>Gübre Bilgisi</w:t>
      </w:r>
      <w:r w:rsidRPr="00D6441B">
        <w:rPr>
          <w:rFonts w:ascii="Times New Roman" w:hAnsi="Times New Roman"/>
          <w:sz w:val="24"/>
          <w:szCs w:val="24"/>
        </w:rPr>
        <w:t>, Ankara Üniversitesi Ziraat Fakültesi Yayınları No: 1383, Ders Kitabı: 397, Ankara, 1994.</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Kara, E., Erel, A., “Tavuk gübresinin bazı toprak özelliklerine ve yulaf kuru bitki ağırlığına etkisi”, </w:t>
      </w:r>
      <w:r w:rsidRPr="00D6441B">
        <w:rPr>
          <w:rFonts w:ascii="Times New Roman" w:hAnsi="Times New Roman"/>
          <w:i/>
          <w:sz w:val="24"/>
          <w:szCs w:val="24"/>
        </w:rPr>
        <w:t>Anadolu, J. of AARI</w:t>
      </w:r>
      <w:r w:rsidRPr="00D6441B">
        <w:rPr>
          <w:rFonts w:ascii="Times New Roman" w:hAnsi="Times New Roman"/>
          <w:sz w:val="24"/>
          <w:szCs w:val="24"/>
        </w:rPr>
        <w:t xml:space="preserve"> 9 (2), 91-104, 1999.</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Karaman, S., “Hayvansal Üretimden Kaynaklanan Çevre Sorunları ve Çözüm Olanakları”, </w:t>
      </w:r>
      <w:r w:rsidRPr="00D6441B">
        <w:rPr>
          <w:rFonts w:ascii="Times New Roman" w:hAnsi="Times New Roman"/>
          <w:i/>
          <w:sz w:val="24"/>
          <w:szCs w:val="24"/>
        </w:rPr>
        <w:t>KSÜ, Fen ve Mühendislik Dergisi</w:t>
      </w:r>
      <w:r w:rsidRPr="00D6441B">
        <w:rPr>
          <w:rFonts w:ascii="Times New Roman" w:hAnsi="Times New Roman"/>
          <w:sz w:val="24"/>
          <w:szCs w:val="24"/>
        </w:rPr>
        <w:t>, 9(2), 2006.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Korkmaz, A., Kızılkaya, R.,  Horuz, A., Sürücü, A., “Fan Separatörle Kurutulmuş Tavuk Gübresinde Azotun Bitkiye Yarayışlı Miktarının </w:t>
      </w:r>
      <w:r w:rsidRPr="00D6441B">
        <w:rPr>
          <w:rFonts w:ascii="Times New Roman" w:hAnsi="Times New Roman"/>
          <w:sz w:val="24"/>
          <w:szCs w:val="24"/>
          <w:vertAlign w:val="superscript"/>
        </w:rPr>
        <w:t>15</w:t>
      </w:r>
      <w:r w:rsidRPr="00D6441B">
        <w:rPr>
          <w:rFonts w:ascii="Times New Roman" w:hAnsi="Times New Roman"/>
          <w:sz w:val="24"/>
          <w:szCs w:val="24"/>
        </w:rPr>
        <w:t xml:space="preserve">N İzleme Tekniğiyle Belirlenmesi”, </w:t>
      </w:r>
      <w:r w:rsidRPr="00D6441B">
        <w:rPr>
          <w:rFonts w:ascii="Times New Roman" w:hAnsi="Times New Roman"/>
          <w:i/>
          <w:sz w:val="24"/>
          <w:szCs w:val="24"/>
        </w:rPr>
        <w:t>Turk J Agric For,</w:t>
      </w:r>
      <w:r w:rsidRPr="00D6441B">
        <w:rPr>
          <w:rFonts w:ascii="Times New Roman" w:hAnsi="Times New Roman"/>
          <w:sz w:val="24"/>
          <w:szCs w:val="24"/>
        </w:rPr>
        <w:t xml:space="preserve"> 24, 63–70, 2000.</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Korkmaz, A., Sürücü, A., Horuz, A., “Sulu Ham Tavuk Gübresinin Tarımda Organik Gübre Olarak Değerlendirilmesi”, </w:t>
      </w:r>
      <w:r w:rsidRPr="00D6441B">
        <w:rPr>
          <w:rFonts w:ascii="Times New Roman" w:hAnsi="Times New Roman"/>
          <w:i/>
          <w:sz w:val="24"/>
          <w:szCs w:val="24"/>
        </w:rPr>
        <w:t xml:space="preserve">OMÜ Ziraat Fakültesi Dergisi, </w:t>
      </w:r>
      <w:r w:rsidRPr="00D6441B">
        <w:rPr>
          <w:rFonts w:ascii="Times New Roman" w:hAnsi="Times New Roman"/>
          <w:sz w:val="24"/>
          <w:szCs w:val="24"/>
        </w:rPr>
        <w:t>11(2), 117-125, 1996.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Kütük, C., Topçuoğlu, B., “Etkinliği yönünden değişik organik gübreler ile amonyum nitratın ıspanak kalite ögeleri üzerindeki etkisinin karşılaştırılması”,  </w:t>
      </w:r>
      <w:r w:rsidRPr="00D6441B">
        <w:rPr>
          <w:rFonts w:ascii="Times New Roman" w:hAnsi="Times New Roman"/>
          <w:i/>
          <w:sz w:val="24"/>
          <w:szCs w:val="24"/>
        </w:rPr>
        <w:t>Akdeniz Üni. Ziraat Fak. Dergisi</w:t>
      </w:r>
      <w:r w:rsidRPr="00D6441B">
        <w:rPr>
          <w:rFonts w:ascii="Times New Roman" w:hAnsi="Times New Roman"/>
          <w:sz w:val="24"/>
          <w:szCs w:val="24"/>
        </w:rPr>
        <w:t>, 10: 70-80, 1997.</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Munsuz, N., Çaycı, G., Sueri, A., Turhan, M., </w:t>
      </w:r>
      <w:r w:rsidRPr="00D6441B">
        <w:rPr>
          <w:rFonts w:ascii="Times New Roman" w:hAnsi="Times New Roman"/>
          <w:i/>
          <w:sz w:val="24"/>
          <w:szCs w:val="24"/>
        </w:rPr>
        <w:t xml:space="preserve">İç Anadolu Bölgesi Seker Fabrikaları Pancar Ekim Alanı Topraklarının Kil Mineralleri ile Potasyum Sağlama Kapasiteleri Arasındaki İlişkiler, </w:t>
      </w:r>
      <w:r w:rsidRPr="00D6441B">
        <w:rPr>
          <w:rFonts w:ascii="Times New Roman" w:hAnsi="Times New Roman"/>
          <w:sz w:val="24"/>
          <w:szCs w:val="24"/>
        </w:rPr>
        <w:t xml:space="preserve"> Türkiye Şeker Fabrikaları A.Ş. Yayın No: 219, Ankara, 1996.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lastRenderedPageBreak/>
        <w:t xml:space="preserve">NRAES,. </w:t>
      </w:r>
      <w:r w:rsidRPr="00D6441B">
        <w:rPr>
          <w:rFonts w:ascii="Times New Roman" w:hAnsi="Times New Roman"/>
          <w:i/>
          <w:sz w:val="24"/>
          <w:szCs w:val="24"/>
        </w:rPr>
        <w:t>Poultry Waste Management Handbook (NRAES-132).</w:t>
      </w:r>
      <w:r w:rsidRPr="00D6441B">
        <w:rPr>
          <w:rFonts w:ascii="Times New Roman" w:hAnsi="Times New Roman"/>
          <w:sz w:val="24"/>
          <w:szCs w:val="24"/>
        </w:rPr>
        <w:t xml:space="preserve"> Natural Resource, Agriculture, and Engineering Service, Cooperative Extension, 152 Riley-Robb Hall, Ithaca, NY 14853-5701, 1999.</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Ongley, E.D., “Control of Water Pollution From Agriculture”, </w:t>
      </w:r>
      <w:r w:rsidRPr="00D6441B">
        <w:rPr>
          <w:rFonts w:ascii="Times New Roman" w:hAnsi="Times New Roman"/>
          <w:i/>
          <w:sz w:val="24"/>
          <w:szCs w:val="24"/>
        </w:rPr>
        <w:t>FAO Irrigation And Drainage No:55</w:t>
      </w:r>
      <w:r w:rsidRPr="00D6441B">
        <w:rPr>
          <w:rFonts w:ascii="Times New Roman" w:hAnsi="Times New Roman"/>
          <w:sz w:val="24"/>
          <w:szCs w:val="24"/>
        </w:rPr>
        <w:t>, Roma, 1996.</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Özek, E., </w:t>
      </w:r>
      <w:r w:rsidRPr="00D6441B">
        <w:rPr>
          <w:rFonts w:ascii="Times New Roman" w:hAnsi="Times New Roman"/>
          <w:i/>
          <w:sz w:val="24"/>
          <w:szCs w:val="24"/>
        </w:rPr>
        <w:t>Tarımdan Kaynaklanan Çevre Kirlenmesi ve Simülasyon Çalışmaları</w:t>
      </w:r>
      <w:r w:rsidRPr="00D6441B">
        <w:rPr>
          <w:rFonts w:ascii="Times New Roman" w:hAnsi="Times New Roman"/>
          <w:sz w:val="24"/>
          <w:szCs w:val="24"/>
        </w:rPr>
        <w:t>, Ankara Üniv., Fen Bilimleri Enstitüsü, Zootekni ABD, Yüksek Lisans Tezi, Ankara, 79 s, 1994.</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Seker, C., Ersoy, İ., “Degisik organik gübreler ve leonarditin toprak özellikleri ve mısır bitkisinin (</w:t>
      </w:r>
      <w:r w:rsidRPr="00D6441B">
        <w:rPr>
          <w:rFonts w:ascii="Times New Roman" w:hAnsi="Times New Roman"/>
          <w:i/>
          <w:sz w:val="24"/>
          <w:szCs w:val="24"/>
        </w:rPr>
        <w:t>Zea mays</w:t>
      </w:r>
      <w:r w:rsidRPr="00D6441B">
        <w:rPr>
          <w:rFonts w:ascii="Times New Roman" w:hAnsi="Times New Roman"/>
          <w:sz w:val="24"/>
          <w:szCs w:val="24"/>
        </w:rPr>
        <w:t xml:space="preserve"> L.) gelişimi üzerine etkileri”, </w:t>
      </w:r>
      <w:r w:rsidRPr="00D6441B">
        <w:rPr>
          <w:rFonts w:ascii="Times New Roman" w:hAnsi="Times New Roman"/>
          <w:i/>
          <w:sz w:val="24"/>
          <w:szCs w:val="24"/>
        </w:rPr>
        <w:t>S.Ü. Ziraat Fak. Dergisi</w:t>
      </w:r>
      <w:r w:rsidRPr="00D6441B">
        <w:rPr>
          <w:rFonts w:ascii="Times New Roman" w:hAnsi="Times New Roman"/>
          <w:sz w:val="24"/>
          <w:szCs w:val="24"/>
        </w:rPr>
        <w:t>, 19 (35), 46-50, 2005.</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lang w:val="en-US"/>
        </w:rPr>
      </w:pPr>
      <w:r w:rsidRPr="00D6441B">
        <w:rPr>
          <w:rFonts w:ascii="Times New Roman" w:hAnsi="Times New Roman"/>
          <w:sz w:val="24"/>
          <w:szCs w:val="24"/>
          <w:lang w:val="en-US"/>
        </w:rPr>
        <w:t>Sloan, D.R, Kidder, G., Jacobs, R.D., “Poultry Manure as a Fertilizer”, Florida Cooperative Extension Service, Institute of Food and Agricultural Sciences, University of Florida, PS1, http://edis.ifas.ufl.edu., 2003.</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proofErr w:type="gramStart"/>
      <w:r w:rsidRPr="00D6441B">
        <w:rPr>
          <w:rFonts w:ascii="Times New Roman" w:hAnsi="Times New Roman"/>
          <w:sz w:val="24"/>
          <w:szCs w:val="24"/>
          <w:lang w:val="en-US"/>
        </w:rPr>
        <w:lastRenderedPageBreak/>
        <w:t xml:space="preserve">Şeker, C., Karakaplan, S., “Konya Ovasında Toprak Özellikleri ile Kırılma Değerleri Arasındaki İlişkiler”, </w:t>
      </w:r>
      <w:r w:rsidRPr="00D6441B">
        <w:rPr>
          <w:rFonts w:ascii="Times New Roman" w:hAnsi="Times New Roman"/>
          <w:i/>
          <w:sz w:val="24"/>
          <w:szCs w:val="24"/>
          <w:lang w:val="en-US"/>
        </w:rPr>
        <w:t>Tr. J. of</w:t>
      </w:r>
      <w:r w:rsidRPr="00D6441B">
        <w:rPr>
          <w:rFonts w:ascii="Times New Roman" w:hAnsi="Times New Roman"/>
          <w:i/>
          <w:sz w:val="24"/>
          <w:szCs w:val="24"/>
        </w:rPr>
        <w:t xml:space="preserve"> Agriculture and Forestry</w:t>
      </w:r>
      <w:r w:rsidRPr="00D6441B">
        <w:rPr>
          <w:rFonts w:ascii="Times New Roman" w:hAnsi="Times New Roman"/>
          <w:sz w:val="24"/>
          <w:szCs w:val="24"/>
        </w:rPr>
        <w:t>, 23, 183–190, 1999.</w:t>
      </w:r>
      <w:proofErr w:type="gramEnd"/>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Taşbaşlı, H., Zeytin, B., Aksoy, E., Konuşkan H.M., “Organik Tarımın Genel İlkeleri”, </w:t>
      </w:r>
      <w:r w:rsidRPr="00D6441B">
        <w:rPr>
          <w:rFonts w:ascii="Times New Roman" w:hAnsi="Times New Roman"/>
          <w:i/>
          <w:sz w:val="24"/>
          <w:szCs w:val="24"/>
        </w:rPr>
        <w:t>T.C. Tarım ve Köyişleri Bakanlığı, Araştırma, Planlama ve Koordinasyon Kurulu Başkanlığı</w:t>
      </w:r>
      <w:r w:rsidRPr="00D6441B">
        <w:rPr>
          <w:rFonts w:ascii="Times New Roman" w:hAnsi="Times New Roman"/>
          <w:sz w:val="24"/>
          <w:szCs w:val="24"/>
        </w:rPr>
        <w:t>, Ankara, 2003.</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TÜİK, Hayvansal Üretim İstatistikleri, 2009.</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Tüzel, Y., Onoğur, E., </w:t>
      </w:r>
      <w:r w:rsidRPr="00D6441B">
        <w:rPr>
          <w:rFonts w:ascii="Times New Roman" w:hAnsi="Times New Roman"/>
          <w:i/>
          <w:sz w:val="24"/>
          <w:szCs w:val="24"/>
        </w:rPr>
        <w:t>Serada Organik Domates Yetiştiriciliği</w:t>
      </w:r>
      <w:r w:rsidRPr="00D6441B">
        <w:rPr>
          <w:rFonts w:ascii="Times New Roman" w:hAnsi="Times New Roman"/>
          <w:sz w:val="24"/>
          <w:szCs w:val="24"/>
        </w:rPr>
        <w:t>, Türkiye Tarımsal Araştırmalar Yayınları, Tübitak Ankara, 2000.</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Ünlü, H., Padem, H., “Organik Domates Yetiştiriciliğinde Çiftlik Gübresi, Mikrobiyal Gübre ve Bitki Aktivatörü Kullanımının Verim ve Kalite Özellikleri Üzerine Etkileri”, </w:t>
      </w:r>
      <w:r w:rsidRPr="00D6441B">
        <w:rPr>
          <w:rFonts w:ascii="Times New Roman" w:hAnsi="Times New Roman"/>
          <w:i/>
          <w:sz w:val="24"/>
          <w:szCs w:val="24"/>
        </w:rPr>
        <w:t>Ekoloji</w:t>
      </w:r>
      <w:r w:rsidRPr="00D6441B">
        <w:rPr>
          <w:rFonts w:ascii="Times New Roman" w:hAnsi="Times New Roman"/>
          <w:sz w:val="24"/>
          <w:szCs w:val="24"/>
        </w:rPr>
        <w:t>, 19, 73, 1-9, 2009.</w:t>
      </w:r>
    </w:p>
    <w:p w:rsidR="001F5FA8" w:rsidRPr="00D6441B"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Yavuzcan, G., </w:t>
      </w:r>
      <w:r w:rsidRPr="00D6441B">
        <w:rPr>
          <w:rFonts w:ascii="Times New Roman" w:hAnsi="Times New Roman"/>
          <w:i/>
          <w:sz w:val="24"/>
          <w:szCs w:val="24"/>
        </w:rPr>
        <w:t>İçsel tarım mekanizasyonu</w:t>
      </w:r>
      <w:r w:rsidRPr="00D6441B">
        <w:rPr>
          <w:rFonts w:ascii="Times New Roman" w:hAnsi="Times New Roman"/>
          <w:sz w:val="24"/>
          <w:szCs w:val="24"/>
        </w:rPr>
        <w:t>, A.Ü. Ziraat Fakültesi Yayınları: 871, Ankara, 13-15, 1983.</w:t>
      </w:r>
    </w:p>
    <w:p w:rsidR="00DC2ADC" w:rsidRDefault="001F5FA8" w:rsidP="00DC2ADC">
      <w:pPr>
        <w:widowControl w:val="0"/>
        <w:spacing w:before="120" w:after="120" w:line="240" w:lineRule="auto"/>
        <w:ind w:left="567" w:hanging="567"/>
        <w:jc w:val="both"/>
        <w:rPr>
          <w:rFonts w:ascii="Times New Roman" w:hAnsi="Times New Roman"/>
          <w:sz w:val="24"/>
          <w:szCs w:val="24"/>
        </w:rPr>
      </w:pPr>
      <w:r w:rsidRPr="00D6441B">
        <w:rPr>
          <w:rFonts w:ascii="Times New Roman" w:hAnsi="Times New Roman"/>
          <w:sz w:val="24"/>
          <w:szCs w:val="24"/>
        </w:rPr>
        <w:t xml:space="preserve">Zengin, M., </w:t>
      </w:r>
      <w:r w:rsidRPr="00D6441B">
        <w:rPr>
          <w:rFonts w:ascii="Times New Roman" w:hAnsi="Times New Roman"/>
          <w:i/>
          <w:sz w:val="24"/>
          <w:szCs w:val="24"/>
        </w:rPr>
        <w:t>Organik Tarım</w:t>
      </w:r>
      <w:r w:rsidRPr="00D6441B">
        <w:rPr>
          <w:rFonts w:ascii="Times New Roman" w:hAnsi="Times New Roman"/>
          <w:sz w:val="24"/>
          <w:szCs w:val="24"/>
        </w:rPr>
        <w:t>, Hasad Yayın</w:t>
      </w:r>
      <w:r w:rsidR="00DC2ADC">
        <w:rPr>
          <w:rFonts w:ascii="Times New Roman" w:hAnsi="Times New Roman"/>
          <w:sz w:val="24"/>
          <w:szCs w:val="24"/>
        </w:rPr>
        <w:t>cılık Ltd. Şti., İstanbul, 2007</w:t>
      </w:r>
    </w:p>
    <w:p w:rsidR="00DC2ADC" w:rsidRDefault="00DC2ADC">
      <w:pPr>
        <w:rPr>
          <w:rFonts w:ascii="Times New Roman" w:hAnsi="Times New Roman"/>
          <w:sz w:val="24"/>
          <w:szCs w:val="24"/>
        </w:rPr>
        <w:sectPr w:rsidR="00DC2ADC" w:rsidSect="00E230BE">
          <w:type w:val="continuous"/>
          <w:pgSz w:w="11906" w:h="16838"/>
          <w:pgMar w:top="1417" w:right="849" w:bottom="1417" w:left="1134" w:header="708" w:footer="340" w:gutter="0"/>
          <w:cols w:num="2" w:space="708"/>
          <w:docGrid w:linePitch="360"/>
        </w:sectPr>
      </w:pPr>
    </w:p>
    <w:p w:rsidR="00DC2ADC" w:rsidRDefault="00DC2ADC">
      <w:pPr>
        <w:rPr>
          <w:rFonts w:ascii="Times New Roman" w:hAnsi="Times New Roman"/>
          <w:sz w:val="24"/>
          <w:szCs w:val="24"/>
        </w:rPr>
      </w:pPr>
      <w:r>
        <w:rPr>
          <w:rFonts w:ascii="Times New Roman" w:hAnsi="Times New Roman"/>
          <w:sz w:val="24"/>
          <w:szCs w:val="24"/>
        </w:rPr>
        <w:lastRenderedPageBreak/>
        <w:br w:type="page"/>
      </w:r>
    </w:p>
    <w:p w:rsidR="00DC2ADC" w:rsidRDefault="00DC2ADC" w:rsidP="00DC2ADC">
      <w:pPr>
        <w:widowControl w:val="0"/>
        <w:spacing w:before="120" w:after="120" w:line="240" w:lineRule="auto"/>
        <w:jc w:val="both"/>
        <w:rPr>
          <w:rFonts w:ascii="Times New Roman" w:hAnsi="Times New Roman"/>
          <w:b/>
          <w:color w:val="000000"/>
          <w:sz w:val="32"/>
          <w:szCs w:val="24"/>
        </w:rPr>
      </w:pPr>
    </w:p>
    <w:p w:rsidR="00DC2ADC" w:rsidRDefault="00DC2ADC" w:rsidP="00DC2ADC">
      <w:pPr>
        <w:widowControl w:val="0"/>
        <w:spacing w:before="120" w:after="120" w:line="240" w:lineRule="auto"/>
        <w:jc w:val="both"/>
        <w:rPr>
          <w:rFonts w:ascii="Times New Roman" w:hAnsi="Times New Roman"/>
          <w:b/>
          <w:color w:val="000000"/>
          <w:sz w:val="32"/>
          <w:szCs w:val="24"/>
        </w:rPr>
      </w:pPr>
    </w:p>
    <w:p w:rsidR="001F5FA8" w:rsidRPr="00F95BBF" w:rsidRDefault="001F5FA8" w:rsidP="00DC2ADC">
      <w:pPr>
        <w:widowControl w:val="0"/>
        <w:spacing w:before="120" w:after="120" w:line="240" w:lineRule="auto"/>
        <w:jc w:val="both"/>
        <w:rPr>
          <w:rFonts w:ascii="Times New Roman" w:hAnsi="Times New Roman"/>
          <w:b/>
          <w:color w:val="000000"/>
          <w:sz w:val="32"/>
          <w:szCs w:val="24"/>
        </w:rPr>
      </w:pPr>
      <w:r w:rsidRPr="00F95BBF">
        <w:rPr>
          <w:rFonts w:ascii="Times New Roman" w:hAnsi="Times New Roman"/>
          <w:b/>
          <w:color w:val="000000"/>
          <w:sz w:val="32"/>
          <w:szCs w:val="24"/>
        </w:rPr>
        <w:t>LİÇ ATIKLARINDAN VE BOR TÜREVLERİNDEN RENKLİ, SERT BOROSİLİKAT – BORCAM ÜRETİMİ</w:t>
      </w:r>
    </w:p>
    <w:p w:rsidR="001F5FA8" w:rsidRPr="00D6441B" w:rsidRDefault="001F5FA8" w:rsidP="001F5FA8">
      <w:pPr>
        <w:spacing w:before="120" w:after="120" w:line="240" w:lineRule="auto"/>
        <w:jc w:val="both"/>
        <w:rPr>
          <w:rFonts w:ascii="Times New Roman" w:hAnsi="Times New Roman"/>
          <w:b/>
          <w:color w:val="000000"/>
          <w:sz w:val="24"/>
          <w:szCs w:val="24"/>
        </w:rPr>
      </w:pPr>
    </w:p>
    <w:p w:rsidR="001F5FA8" w:rsidRPr="00D6441B" w:rsidRDefault="001F5FA8" w:rsidP="001F5FA8">
      <w:pPr>
        <w:spacing w:before="120" w:after="120" w:line="240" w:lineRule="auto"/>
        <w:jc w:val="both"/>
        <w:rPr>
          <w:rFonts w:ascii="Times New Roman" w:hAnsi="Times New Roman"/>
          <w:b/>
          <w:color w:val="000000"/>
          <w:sz w:val="24"/>
          <w:szCs w:val="24"/>
          <w:vertAlign w:val="superscript"/>
        </w:rPr>
      </w:pPr>
      <w:r w:rsidRPr="00D6441B">
        <w:rPr>
          <w:rFonts w:ascii="Times New Roman" w:hAnsi="Times New Roman"/>
          <w:b/>
          <w:color w:val="000000"/>
          <w:sz w:val="24"/>
          <w:szCs w:val="24"/>
        </w:rPr>
        <w:t>Ayşegül</w:t>
      </w:r>
      <w:r w:rsidRPr="00D6441B">
        <w:rPr>
          <w:rFonts w:ascii="Times New Roman" w:hAnsi="Times New Roman"/>
          <w:b/>
          <w:color w:val="000000"/>
          <w:sz w:val="24"/>
          <w:szCs w:val="24"/>
          <w:u w:val="single"/>
        </w:rPr>
        <w:t xml:space="preserve"> </w:t>
      </w:r>
      <w:r w:rsidRPr="00D6441B">
        <w:rPr>
          <w:rFonts w:ascii="Times New Roman" w:hAnsi="Times New Roman"/>
          <w:b/>
          <w:color w:val="000000"/>
          <w:sz w:val="24"/>
          <w:szCs w:val="24"/>
        </w:rPr>
        <w:t>Pala</w:t>
      </w:r>
      <w:r w:rsidRPr="00D6441B">
        <w:rPr>
          <w:rFonts w:ascii="Times New Roman" w:hAnsi="Times New Roman"/>
          <w:b/>
          <w:color w:val="000000"/>
          <w:sz w:val="24"/>
          <w:szCs w:val="24"/>
          <w:vertAlign w:val="superscript"/>
        </w:rPr>
        <w:t>1</w:t>
      </w:r>
      <w:r>
        <w:rPr>
          <w:rFonts w:ascii="Times New Roman" w:hAnsi="Times New Roman"/>
          <w:b/>
          <w:color w:val="000000"/>
          <w:sz w:val="24"/>
          <w:szCs w:val="24"/>
        </w:rPr>
        <w:t xml:space="preserve">, Turan </w:t>
      </w:r>
      <w:r w:rsidRPr="00D6441B">
        <w:rPr>
          <w:rFonts w:ascii="Times New Roman" w:hAnsi="Times New Roman"/>
          <w:b/>
          <w:color w:val="000000"/>
          <w:sz w:val="24"/>
          <w:szCs w:val="24"/>
        </w:rPr>
        <w:t>Batar</w:t>
      </w:r>
      <w:r w:rsidRPr="00D6441B">
        <w:rPr>
          <w:rFonts w:ascii="Times New Roman" w:hAnsi="Times New Roman"/>
          <w:b/>
          <w:color w:val="000000"/>
          <w:sz w:val="24"/>
          <w:szCs w:val="24"/>
          <w:vertAlign w:val="superscript"/>
        </w:rPr>
        <w:t>2</w:t>
      </w:r>
      <w:r w:rsidRPr="00D6441B">
        <w:rPr>
          <w:rFonts w:ascii="Times New Roman" w:hAnsi="Times New Roman"/>
          <w:b/>
          <w:color w:val="000000"/>
          <w:sz w:val="24"/>
          <w:szCs w:val="24"/>
        </w:rPr>
        <w:t>, Filiz  Mısırlı</w:t>
      </w:r>
      <w:r w:rsidRPr="00D6441B">
        <w:rPr>
          <w:rFonts w:ascii="Times New Roman" w:hAnsi="Times New Roman"/>
          <w:b/>
          <w:color w:val="000000"/>
          <w:sz w:val="24"/>
          <w:szCs w:val="24"/>
          <w:vertAlign w:val="superscript"/>
        </w:rPr>
        <w:t>3</w:t>
      </w:r>
      <w:r>
        <w:rPr>
          <w:rFonts w:ascii="Times New Roman" w:hAnsi="Times New Roman"/>
          <w:b/>
          <w:color w:val="000000"/>
          <w:sz w:val="24"/>
          <w:szCs w:val="24"/>
        </w:rPr>
        <w:t xml:space="preserve">, </w:t>
      </w:r>
      <w:r w:rsidRPr="00D6441B">
        <w:rPr>
          <w:rFonts w:ascii="Times New Roman" w:hAnsi="Times New Roman"/>
          <w:b/>
          <w:color w:val="000000"/>
          <w:sz w:val="24"/>
          <w:szCs w:val="24"/>
        </w:rPr>
        <w:t>Beril Sülün</w:t>
      </w:r>
      <w:r w:rsidRPr="00D6441B">
        <w:rPr>
          <w:rFonts w:ascii="Times New Roman" w:hAnsi="Times New Roman"/>
          <w:b/>
          <w:color w:val="000000"/>
          <w:sz w:val="24"/>
          <w:szCs w:val="24"/>
          <w:vertAlign w:val="superscript"/>
        </w:rPr>
        <w:t>3</w:t>
      </w:r>
      <w:r w:rsidRPr="00D6441B">
        <w:rPr>
          <w:rFonts w:ascii="Times New Roman" w:hAnsi="Times New Roman"/>
          <w:b/>
          <w:color w:val="000000"/>
          <w:sz w:val="24"/>
          <w:szCs w:val="24"/>
        </w:rPr>
        <w:t>, Yasemin Paksoy</w:t>
      </w:r>
      <w:r w:rsidRPr="00D6441B">
        <w:rPr>
          <w:rFonts w:ascii="Times New Roman" w:hAnsi="Times New Roman"/>
          <w:b/>
          <w:color w:val="000000"/>
          <w:sz w:val="24"/>
          <w:szCs w:val="24"/>
          <w:vertAlign w:val="superscript"/>
        </w:rPr>
        <w:t>3</w:t>
      </w:r>
    </w:p>
    <w:p w:rsidR="001F5FA8" w:rsidRPr="00D6441B" w:rsidRDefault="001F5FA8" w:rsidP="001F5FA8">
      <w:pPr>
        <w:spacing w:after="0" w:line="240" w:lineRule="auto"/>
        <w:contextualSpacing/>
        <w:jc w:val="both"/>
        <w:rPr>
          <w:rFonts w:ascii="Times New Roman" w:hAnsi="Times New Roman"/>
          <w:color w:val="000000"/>
          <w:sz w:val="24"/>
          <w:szCs w:val="24"/>
        </w:rPr>
      </w:pPr>
      <w:r w:rsidRPr="00D6441B">
        <w:rPr>
          <w:rFonts w:ascii="Times New Roman" w:hAnsi="Times New Roman"/>
          <w:color w:val="000000"/>
          <w:sz w:val="24"/>
          <w:szCs w:val="24"/>
          <w:vertAlign w:val="superscript"/>
        </w:rPr>
        <w:t>1</w:t>
      </w:r>
      <w:r w:rsidRPr="00D6441B">
        <w:rPr>
          <w:rFonts w:ascii="Times New Roman" w:hAnsi="Times New Roman"/>
          <w:color w:val="000000"/>
          <w:sz w:val="24"/>
          <w:szCs w:val="24"/>
        </w:rPr>
        <w:t xml:space="preserve">Dokuz Eylül Üniversitesi, Çevre Araştırma ve Uygulama Merkezi, 35160, Buca, </w:t>
      </w:r>
      <w:r w:rsidRPr="00D6441B">
        <w:rPr>
          <w:rStyle w:val="postbody1"/>
          <w:rFonts w:ascii="Times New Roman" w:hAnsi="Times New Roman"/>
          <w:sz w:val="24"/>
          <w:szCs w:val="24"/>
        </w:rPr>
        <w:t>İzmir</w:t>
      </w:r>
    </w:p>
    <w:p w:rsidR="001F5FA8" w:rsidRPr="00D6441B" w:rsidRDefault="001F5FA8" w:rsidP="001F5FA8">
      <w:pPr>
        <w:spacing w:after="0" w:line="240" w:lineRule="auto"/>
        <w:contextualSpacing/>
        <w:jc w:val="both"/>
        <w:rPr>
          <w:rStyle w:val="postbody1"/>
          <w:rFonts w:ascii="Times New Roman" w:hAnsi="Times New Roman"/>
          <w:sz w:val="24"/>
          <w:szCs w:val="24"/>
        </w:rPr>
      </w:pPr>
      <w:r w:rsidRPr="00D6441B">
        <w:rPr>
          <w:rFonts w:ascii="Times New Roman" w:hAnsi="Times New Roman"/>
          <w:color w:val="000000"/>
          <w:sz w:val="24"/>
          <w:szCs w:val="24"/>
          <w:vertAlign w:val="superscript"/>
        </w:rPr>
        <w:t>2</w:t>
      </w:r>
      <w:r w:rsidRPr="00D6441B">
        <w:rPr>
          <w:rFonts w:ascii="Times New Roman" w:hAnsi="Times New Roman"/>
          <w:color w:val="000000"/>
          <w:sz w:val="24"/>
          <w:szCs w:val="24"/>
        </w:rPr>
        <w:t xml:space="preserve">Dokuz Eylül Üniversitesi, Mühendislik Fakültesi, Maden Mühendisliği Bölümü , 35160, Buca, </w:t>
      </w:r>
      <w:r w:rsidRPr="00D6441B">
        <w:rPr>
          <w:rStyle w:val="postbody1"/>
          <w:rFonts w:ascii="Times New Roman" w:hAnsi="Times New Roman"/>
          <w:sz w:val="24"/>
          <w:szCs w:val="24"/>
        </w:rPr>
        <w:t>İzmir</w:t>
      </w:r>
    </w:p>
    <w:p w:rsidR="001F5FA8" w:rsidRPr="00D6441B" w:rsidRDefault="001F5FA8" w:rsidP="001F5FA8">
      <w:pPr>
        <w:spacing w:after="0" w:line="240" w:lineRule="auto"/>
        <w:contextualSpacing/>
        <w:jc w:val="both"/>
        <w:rPr>
          <w:rFonts w:ascii="Times New Roman" w:hAnsi="Times New Roman"/>
          <w:color w:val="000000"/>
          <w:sz w:val="24"/>
          <w:szCs w:val="24"/>
        </w:rPr>
      </w:pPr>
      <w:r w:rsidRPr="00D6441B">
        <w:rPr>
          <w:rFonts w:ascii="Times New Roman" w:hAnsi="Times New Roman"/>
          <w:color w:val="000000"/>
          <w:sz w:val="24"/>
          <w:szCs w:val="24"/>
          <w:vertAlign w:val="superscript"/>
        </w:rPr>
        <w:t>3</w:t>
      </w:r>
      <w:r w:rsidRPr="00D6441B">
        <w:rPr>
          <w:rFonts w:ascii="Times New Roman" w:hAnsi="Times New Roman"/>
          <w:color w:val="000000"/>
          <w:sz w:val="24"/>
          <w:szCs w:val="24"/>
        </w:rPr>
        <w:t xml:space="preserve"> Özel Türk Fen Lisesi, 35280, Köprü, İzmir</w:t>
      </w:r>
    </w:p>
    <w:p w:rsidR="001F5FA8" w:rsidRPr="00D6441B" w:rsidRDefault="001F5FA8" w:rsidP="001F5FA8">
      <w:pPr>
        <w:pStyle w:val="Default"/>
        <w:spacing w:before="120" w:after="120"/>
        <w:jc w:val="both"/>
      </w:pPr>
    </w:p>
    <w:p w:rsidR="001F5FA8" w:rsidRPr="00D6441B" w:rsidRDefault="001F5FA8" w:rsidP="001F5FA8">
      <w:pPr>
        <w:spacing w:before="120" w:after="120" w:line="240" w:lineRule="auto"/>
        <w:jc w:val="both"/>
        <w:rPr>
          <w:rFonts w:ascii="Times New Roman" w:hAnsi="Times New Roman"/>
          <w:b/>
          <w:bCs/>
          <w:caps/>
          <w:sz w:val="24"/>
          <w:szCs w:val="24"/>
        </w:rPr>
      </w:pPr>
      <w:r w:rsidRPr="00D6441B">
        <w:rPr>
          <w:rFonts w:ascii="Times New Roman" w:hAnsi="Times New Roman"/>
          <w:b/>
          <w:bCs/>
          <w:sz w:val="24"/>
          <w:szCs w:val="24"/>
        </w:rPr>
        <w:t>Özet</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Altın liçi sonrası ortaya çıkan katı atıkların, içerdikleri yüksek SiO</w:t>
      </w:r>
      <w:r w:rsidRPr="00D6441B">
        <w:rPr>
          <w:rFonts w:ascii="Times New Roman" w:hAnsi="Times New Roman"/>
          <w:sz w:val="24"/>
          <w:szCs w:val="24"/>
          <w:vertAlign w:val="subscript"/>
        </w:rPr>
        <w:t xml:space="preserve">2 </w:t>
      </w:r>
      <w:r w:rsidRPr="00D6441B">
        <w:rPr>
          <w:rFonts w:ascii="Times New Roman" w:hAnsi="Times New Roman"/>
          <w:sz w:val="24"/>
          <w:szCs w:val="24"/>
        </w:rPr>
        <w:t>sebebiyle cam sanayinde katkı maddesi olarak kullanılabilirliği araştırılmıştır. Yüksek pH’da siyanür ile liç  sonucu oluşan katı atıklar, filtrasyon işleminden geçirilerek faz ayrımı sağlanmış ve doğal işlemle kurutulmuştur. Atığın cam sanayinde kullanılabilirliğini tespit etmek amacıyla XRD analizi, kimyasal analiz ve eluat testi yapılmıştır. Bu testler sonucunda atığın renkli, sert borosilikat-borcam üretiminde kullanılabilirliği saptanmıştır.</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Hazırlanan liç atığına, ana hammadde olarak mısır kumu ve katkı malzemesi olarak da üç farklı bor türevi ilave edilmiştir. Halen üretim yapan bir cam fabrikasında dökülen cam numuneleri, kimyasal kompozisyon analizleri, ısıl genleşme katsayıları ve geçirgenlik değişim testlerinden geçirilmiştir. Üretilen özel renkli, sert borosilikat-borcamlar fabrikanın ürettiği referans camla karşılaştırılmıştır. Karşılaştırma sonucunda, liç atığının özel cam üretiminde hammadde olarak kullanılabileceği görülmüştür.</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color w:val="000000"/>
          <w:sz w:val="24"/>
          <w:szCs w:val="24"/>
        </w:rPr>
        <w:t>Yapılan çalışma sonucunda, altın üretimi yapan tesislerin liç atıklarından, özel amaçlı renkli cam üretiminin mümkün olduğu görülmüştür. Atık içerisine, farklı katkı metal ilavesiyle (Cr, Mn veya bunların indirgen ve yükseltgen formları) bu renkliliğin daha da arttırılabileceği mümkün gözükmektedir. Çalışmayla, renkli camın yanı sıra bor cam üretiminde kullanılan  borik asit yerine borik asit, kalsine tinkal ve boraks pentahidrat kombinasyonunun da kullanılabileceği ortaya konmuştur.</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İlave edilen liç atığı içerisindeki metal bileşenlerin, renk değişimi üzerinde büyük bir etkiye sahip olduğu görülmüştür.  Analizlere bakıldığında, bileşimler arasında bir miktar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farkı olmakla birlikte temelde büyük farklar görülmemiştir. Referanstaki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%sinin fazla olması, başlangıçtaki miktarın fazla olmasından kaynaklanmıştır. Her ne kadar ağırlıkça bor türevleri miktarı aynı olsa da, kalsine tinkal %52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ve boraks pentahidrat 47,76 %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içerirken borik asit % 56,25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içermektedir. O nedenle de üretilen yeni camlarda,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 xml:space="preserve">3 </w:t>
      </w:r>
      <w:r w:rsidRPr="00D6441B">
        <w:rPr>
          <w:rFonts w:ascii="Times New Roman" w:hAnsi="Times New Roman"/>
          <w:sz w:val="24"/>
          <w:szCs w:val="24"/>
        </w:rPr>
        <w:t>miktarı yaklaşık %2 daha az gözükmektedir</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Sonuç olarak, liç atıkları ve bor türevlerinin cam üretiminde kullanılması halinde;</w:t>
      </w:r>
    </w:p>
    <w:p w:rsidR="001F5FA8" w:rsidRPr="00D6441B" w:rsidRDefault="001F5FA8" w:rsidP="001F5FA8">
      <w:pPr>
        <w:numPr>
          <w:ilvl w:val="0"/>
          <w:numId w:val="10"/>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Cevher hazırlama tesislerinde de en önemli masraf öğütmeye harcanan enerjiden kaynaklanmaktadır. Öğütme için harcanan toplam enerjinin ancak %1 ’i öğütmeye harcanmaktadır. Geriye kalan enerjinin %99’u ısıya ve sese dönüşmektedir. Liç atıklarının cam üretiminde kullanılması halinde tekrar öğütülmesine gerek olmadığından, ekonomiye katkı sağlayacaktır.</w:t>
      </w:r>
    </w:p>
    <w:p w:rsidR="001F5FA8" w:rsidRPr="00D6441B" w:rsidRDefault="001F5FA8" w:rsidP="001F5FA8">
      <w:pPr>
        <w:numPr>
          <w:ilvl w:val="0"/>
          <w:numId w:val="10"/>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Zararlı atıkları uzun yıllar stoklama/depolamaya gerek kalmayacaktır.</w:t>
      </w:r>
    </w:p>
    <w:p w:rsidR="001F5FA8" w:rsidRPr="00D6441B" w:rsidRDefault="001F5FA8" w:rsidP="001F5FA8">
      <w:pPr>
        <w:numPr>
          <w:ilvl w:val="0"/>
          <w:numId w:val="10"/>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lastRenderedPageBreak/>
        <w:t>Dünya bor rezervinin %72’sine sahip ülkemizde, bor türevlerine yeni kullanım alanları açılmış olacaktır.</w:t>
      </w:r>
    </w:p>
    <w:p w:rsidR="001F5FA8" w:rsidRPr="00D6441B" w:rsidRDefault="001F5FA8" w:rsidP="001F5FA8">
      <w:pPr>
        <w:numPr>
          <w:ilvl w:val="0"/>
          <w:numId w:val="10"/>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 xml:space="preserve">Elde edilen </w:t>
      </w:r>
      <w:r w:rsidRPr="00D6441B">
        <w:rPr>
          <w:rFonts w:ascii="Times New Roman" w:hAnsi="Times New Roman"/>
          <w:color w:val="000000"/>
          <w:sz w:val="24"/>
          <w:szCs w:val="24"/>
        </w:rPr>
        <w:t>renkli, sert borosilikat-borcamlar gibi yeni bir ürün elde edilmiş olacağı gibi, gerektiğinde daha farklı renklerde cam üretilmesi mümkün olacaktır.</w:t>
      </w:r>
    </w:p>
    <w:p w:rsidR="001F5FA8" w:rsidRPr="00D6441B" w:rsidRDefault="001F5FA8" w:rsidP="001F5FA8">
      <w:pPr>
        <w:pStyle w:val="ListParagraph"/>
        <w:spacing w:before="120" w:after="120"/>
        <w:ind w:left="0"/>
        <w:jc w:val="both"/>
        <w:rPr>
          <w:i/>
        </w:rPr>
      </w:pPr>
      <w:r w:rsidRPr="00D6441B">
        <w:rPr>
          <w:b/>
          <w:i/>
        </w:rPr>
        <w:t>Anahtar Kelimeler</w:t>
      </w:r>
      <w:r>
        <w:rPr>
          <w:i/>
        </w:rPr>
        <w:t>: Altın madeni atıkları,</w:t>
      </w:r>
      <w:r w:rsidRPr="00D6441B">
        <w:rPr>
          <w:i/>
        </w:rPr>
        <w:t xml:space="preserve"> bor cam üretimi,  cam</w:t>
      </w:r>
      <w:r>
        <w:rPr>
          <w:i/>
        </w:rPr>
        <w:t xml:space="preserve"> üretimi, geri kazanım, siyanür</w:t>
      </w:r>
    </w:p>
    <w:p w:rsidR="001F5FA8" w:rsidRPr="00D6441B" w:rsidRDefault="001F5FA8" w:rsidP="001F5FA8">
      <w:pPr>
        <w:pStyle w:val="ListParagraph"/>
        <w:spacing w:before="120" w:after="120"/>
        <w:ind w:left="0"/>
        <w:jc w:val="both"/>
        <w:rPr>
          <w:i/>
        </w:rPr>
      </w:pPr>
    </w:p>
    <w:p w:rsidR="001F5FA8" w:rsidRPr="00F95BBF" w:rsidRDefault="001F5FA8" w:rsidP="001F5FA8">
      <w:pPr>
        <w:spacing w:before="120" w:after="120" w:line="240" w:lineRule="auto"/>
        <w:jc w:val="both"/>
        <w:rPr>
          <w:rFonts w:ascii="Times New Roman" w:hAnsi="Times New Roman"/>
          <w:i/>
          <w:sz w:val="28"/>
          <w:szCs w:val="24"/>
        </w:rPr>
      </w:pPr>
      <w:r w:rsidRPr="00F95BBF">
        <w:rPr>
          <w:rFonts w:ascii="Times New Roman" w:hAnsi="Times New Roman"/>
          <w:b/>
          <w:sz w:val="28"/>
          <w:szCs w:val="24"/>
          <w:lang w:val="en-US"/>
        </w:rPr>
        <w:t xml:space="preserve">PRODUCTION OF </w:t>
      </w:r>
      <w:proofErr w:type="gramStart"/>
      <w:r w:rsidRPr="00F95BBF">
        <w:rPr>
          <w:rFonts w:ascii="Times New Roman" w:hAnsi="Times New Roman"/>
          <w:b/>
          <w:sz w:val="28"/>
          <w:szCs w:val="24"/>
          <w:lang w:val="en-US"/>
        </w:rPr>
        <w:t>COLORED  HARD</w:t>
      </w:r>
      <w:proofErr w:type="gramEnd"/>
      <w:r w:rsidRPr="00F95BBF">
        <w:rPr>
          <w:rFonts w:ascii="Times New Roman" w:hAnsi="Times New Roman"/>
          <w:b/>
          <w:sz w:val="28"/>
          <w:szCs w:val="24"/>
          <w:lang w:val="en-US"/>
        </w:rPr>
        <w:t xml:space="preserve"> BOROSILICATE – PYREX GLASS USING GOLD LEACHING TAILINGS AND BORON DERIVATES</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b/>
          <w:caps/>
          <w:sz w:val="24"/>
          <w:szCs w:val="24"/>
        </w:rPr>
      </w:pPr>
      <w:r w:rsidRPr="00D6441B">
        <w:rPr>
          <w:rFonts w:ascii="Times New Roman" w:hAnsi="Times New Roman"/>
          <w:b/>
          <w:sz w:val="24"/>
          <w:szCs w:val="24"/>
        </w:rPr>
        <w:t>Abstract</w:t>
      </w:r>
    </w:p>
    <w:p w:rsidR="001F5FA8" w:rsidRPr="00D6441B" w:rsidRDefault="001F5FA8" w:rsidP="001F5FA8">
      <w:pPr>
        <w:spacing w:before="120" w:after="120" w:line="240" w:lineRule="auto"/>
        <w:jc w:val="both"/>
        <w:rPr>
          <w:rFonts w:ascii="Times New Roman" w:hAnsi="Times New Roman"/>
          <w:sz w:val="24"/>
          <w:szCs w:val="24"/>
          <w:lang w:val="en-US"/>
        </w:rPr>
      </w:pPr>
      <w:r w:rsidRPr="00D6441B">
        <w:rPr>
          <w:rFonts w:ascii="Times New Roman" w:hAnsi="Times New Roman"/>
          <w:sz w:val="24"/>
          <w:szCs w:val="24"/>
          <w:lang w:val="en-US"/>
        </w:rPr>
        <w:t>The utilization of solid tailings of Au leaching in glass industry is investigated due to its high SiO</w:t>
      </w:r>
      <w:r w:rsidRPr="00D6441B">
        <w:rPr>
          <w:rFonts w:ascii="Times New Roman" w:hAnsi="Times New Roman"/>
          <w:sz w:val="24"/>
          <w:szCs w:val="24"/>
          <w:vertAlign w:val="subscript"/>
          <w:lang w:val="en-US"/>
        </w:rPr>
        <w:t>2</w:t>
      </w:r>
      <w:r w:rsidRPr="00D6441B">
        <w:rPr>
          <w:rFonts w:ascii="Times New Roman" w:hAnsi="Times New Roman"/>
          <w:sz w:val="24"/>
          <w:szCs w:val="24"/>
          <w:lang w:val="en-US"/>
        </w:rPr>
        <w:t xml:space="preserve"> content. The solid tailings of high pH cyanide leaching was filtered to achieve phase division and then dried naturally. The utilization level of the tailing in glass industry was determined by XRD, chemical analysis and eluate tests. The tailings were decided to be utilizable in production of borosilicate – </w:t>
      </w:r>
      <w:proofErr w:type="gramStart"/>
      <w:r w:rsidRPr="00D6441B">
        <w:rPr>
          <w:rFonts w:ascii="Times New Roman" w:hAnsi="Times New Roman"/>
          <w:sz w:val="24"/>
          <w:szCs w:val="24"/>
          <w:lang w:val="en-US"/>
        </w:rPr>
        <w:t>pyrex</w:t>
      </w:r>
      <w:proofErr w:type="gramEnd"/>
      <w:r w:rsidRPr="00D6441B">
        <w:rPr>
          <w:rFonts w:ascii="Times New Roman" w:hAnsi="Times New Roman"/>
          <w:sz w:val="24"/>
          <w:szCs w:val="24"/>
          <w:lang w:val="en-US"/>
        </w:rPr>
        <w:t>.</w:t>
      </w:r>
    </w:p>
    <w:p w:rsidR="001F5FA8" w:rsidRPr="00D6441B" w:rsidRDefault="001F5FA8" w:rsidP="001F5FA8">
      <w:pPr>
        <w:spacing w:before="120" w:after="120" w:line="240" w:lineRule="auto"/>
        <w:jc w:val="both"/>
        <w:rPr>
          <w:rFonts w:ascii="Times New Roman" w:hAnsi="Times New Roman"/>
          <w:sz w:val="24"/>
          <w:szCs w:val="24"/>
          <w:lang w:val="en-US"/>
        </w:rPr>
      </w:pPr>
      <w:r w:rsidRPr="00D6441B">
        <w:rPr>
          <w:rFonts w:ascii="Times New Roman" w:hAnsi="Times New Roman"/>
          <w:sz w:val="24"/>
          <w:szCs w:val="24"/>
          <w:lang w:val="en-US"/>
        </w:rPr>
        <w:t>The tailings were mixed with Egyptian desert sand as the main raw material and three different boron products as additives. The samples underwent chemical composition analysis, thermal expansion coefficient and permeability tests in a glass manufacturing workshop. The hard borosilicate – pyrexes with special color were compared to the routine product of the workshop. As a result, the use of leach tailings as a raw material in glass production was proved.</w:t>
      </w:r>
    </w:p>
    <w:p w:rsidR="001F5FA8" w:rsidRPr="00D6441B" w:rsidRDefault="001F5FA8" w:rsidP="001F5FA8">
      <w:pPr>
        <w:spacing w:before="120" w:after="120" w:line="240" w:lineRule="auto"/>
        <w:jc w:val="both"/>
        <w:rPr>
          <w:rFonts w:ascii="Times New Roman" w:hAnsi="Times New Roman"/>
          <w:sz w:val="24"/>
          <w:szCs w:val="24"/>
          <w:lang w:val="en-US"/>
        </w:rPr>
      </w:pPr>
      <w:r w:rsidRPr="00D6441B">
        <w:rPr>
          <w:rFonts w:ascii="Times New Roman" w:hAnsi="Times New Roman"/>
          <w:sz w:val="24"/>
          <w:szCs w:val="24"/>
          <w:lang w:val="en-US"/>
        </w:rPr>
        <w:t xml:space="preserve">The utilization of tailings from gold leaching plants is proved to be possible in the production of special functioned colored glass, as a result of the investigations. The color of the glass can be enhanced by using different metal additives (Cr, Mn, reduced or oxidized forms of Cr and Mn). The use of boric acid, calcined tincal and borax pentahidrate combinations instead of boric acid in colored glass and </w:t>
      </w:r>
      <w:proofErr w:type="gramStart"/>
      <w:r w:rsidRPr="00D6441B">
        <w:rPr>
          <w:rFonts w:ascii="Times New Roman" w:hAnsi="Times New Roman"/>
          <w:sz w:val="24"/>
          <w:szCs w:val="24"/>
          <w:lang w:val="en-US"/>
        </w:rPr>
        <w:t>pyrex</w:t>
      </w:r>
      <w:proofErr w:type="gramEnd"/>
      <w:r w:rsidRPr="00D6441B">
        <w:rPr>
          <w:rFonts w:ascii="Times New Roman" w:hAnsi="Times New Roman"/>
          <w:sz w:val="24"/>
          <w:szCs w:val="24"/>
          <w:lang w:val="en-US"/>
        </w:rPr>
        <w:t xml:space="preserve"> production was also investigated.</w:t>
      </w:r>
    </w:p>
    <w:p w:rsidR="001F5FA8" w:rsidRPr="00D6441B" w:rsidRDefault="001F5FA8" w:rsidP="001F5FA8">
      <w:pPr>
        <w:spacing w:before="120" w:after="120" w:line="240" w:lineRule="auto"/>
        <w:jc w:val="both"/>
        <w:rPr>
          <w:rFonts w:ascii="Times New Roman" w:hAnsi="Times New Roman"/>
          <w:sz w:val="24"/>
          <w:szCs w:val="24"/>
          <w:lang w:val="en-US"/>
        </w:rPr>
      </w:pPr>
      <w:r w:rsidRPr="00D6441B">
        <w:rPr>
          <w:rFonts w:ascii="Times New Roman" w:hAnsi="Times New Roman"/>
          <w:sz w:val="24"/>
          <w:szCs w:val="24"/>
          <w:lang w:val="en-US"/>
        </w:rPr>
        <w:t>The effect of metal content of leach tailings on the color change was observed. Only slight differences in B</w:t>
      </w:r>
      <w:r w:rsidRPr="00D6441B">
        <w:rPr>
          <w:rFonts w:ascii="Times New Roman" w:hAnsi="Times New Roman"/>
          <w:sz w:val="24"/>
          <w:szCs w:val="24"/>
          <w:vertAlign w:val="subscript"/>
          <w:lang w:val="en-US"/>
        </w:rPr>
        <w:t>2</w:t>
      </w:r>
      <w:r w:rsidRPr="00D6441B">
        <w:rPr>
          <w:rFonts w:ascii="Times New Roman" w:hAnsi="Times New Roman"/>
          <w:sz w:val="24"/>
          <w:szCs w:val="24"/>
          <w:lang w:val="en-US"/>
        </w:rPr>
        <w:t>O</w:t>
      </w:r>
      <w:r w:rsidRPr="00D6441B">
        <w:rPr>
          <w:rFonts w:ascii="Times New Roman" w:hAnsi="Times New Roman"/>
          <w:sz w:val="24"/>
          <w:szCs w:val="24"/>
          <w:vertAlign w:val="subscript"/>
          <w:lang w:val="en-US"/>
        </w:rPr>
        <w:t>3</w:t>
      </w:r>
      <w:r w:rsidRPr="00D6441B">
        <w:rPr>
          <w:rFonts w:ascii="Times New Roman" w:hAnsi="Times New Roman"/>
          <w:sz w:val="24"/>
          <w:szCs w:val="24"/>
          <w:lang w:val="en-US"/>
        </w:rPr>
        <w:t xml:space="preserve"> content were determined depending on analysis. The high B</w:t>
      </w:r>
      <w:r w:rsidRPr="00D6441B">
        <w:rPr>
          <w:rFonts w:ascii="Times New Roman" w:hAnsi="Times New Roman"/>
          <w:sz w:val="24"/>
          <w:szCs w:val="24"/>
          <w:vertAlign w:val="subscript"/>
          <w:lang w:val="en-US"/>
        </w:rPr>
        <w:t>2</w:t>
      </w:r>
      <w:r w:rsidRPr="00D6441B">
        <w:rPr>
          <w:rFonts w:ascii="Times New Roman" w:hAnsi="Times New Roman"/>
          <w:sz w:val="24"/>
          <w:szCs w:val="24"/>
          <w:lang w:val="en-US"/>
        </w:rPr>
        <w:t>O</w:t>
      </w:r>
      <w:r w:rsidRPr="00D6441B">
        <w:rPr>
          <w:rFonts w:ascii="Times New Roman" w:hAnsi="Times New Roman"/>
          <w:sz w:val="24"/>
          <w:szCs w:val="24"/>
          <w:vertAlign w:val="subscript"/>
          <w:lang w:val="en-US"/>
        </w:rPr>
        <w:t>3</w:t>
      </w:r>
      <w:r w:rsidRPr="00D6441B">
        <w:rPr>
          <w:rFonts w:ascii="Times New Roman" w:hAnsi="Times New Roman"/>
          <w:sz w:val="24"/>
          <w:szCs w:val="24"/>
          <w:lang w:val="en-US"/>
        </w:rPr>
        <w:t xml:space="preserve"> content in the reference sample was due to the high sample content in the initial test.  Even though the amount of boron products were same, calcined tincal contains 52% and borax pentahidrate contains %47.76 while boric acid contains 56.25% B</w:t>
      </w:r>
      <w:r w:rsidRPr="00D6441B">
        <w:rPr>
          <w:rFonts w:ascii="Times New Roman" w:hAnsi="Times New Roman"/>
          <w:sz w:val="24"/>
          <w:szCs w:val="24"/>
          <w:vertAlign w:val="subscript"/>
          <w:lang w:val="en-US"/>
        </w:rPr>
        <w:t>2</w:t>
      </w:r>
      <w:r w:rsidRPr="00D6441B">
        <w:rPr>
          <w:rFonts w:ascii="Times New Roman" w:hAnsi="Times New Roman"/>
          <w:sz w:val="24"/>
          <w:szCs w:val="24"/>
          <w:lang w:val="en-US"/>
        </w:rPr>
        <w:t>O</w:t>
      </w:r>
      <w:r w:rsidRPr="00D6441B">
        <w:rPr>
          <w:rFonts w:ascii="Times New Roman" w:hAnsi="Times New Roman"/>
          <w:sz w:val="24"/>
          <w:szCs w:val="24"/>
          <w:vertAlign w:val="subscript"/>
          <w:lang w:val="en-US"/>
        </w:rPr>
        <w:t>3</w:t>
      </w:r>
      <w:r w:rsidRPr="00D6441B">
        <w:rPr>
          <w:rFonts w:ascii="Times New Roman" w:hAnsi="Times New Roman"/>
          <w:sz w:val="24"/>
          <w:szCs w:val="24"/>
          <w:lang w:val="en-US"/>
        </w:rPr>
        <w:t xml:space="preserve">. Hence, the glass produced contains 2% </w:t>
      </w:r>
      <w:proofErr w:type="gramStart"/>
      <w:r w:rsidRPr="00D6441B">
        <w:rPr>
          <w:rFonts w:ascii="Times New Roman" w:hAnsi="Times New Roman"/>
          <w:sz w:val="24"/>
          <w:szCs w:val="24"/>
          <w:lang w:val="en-US"/>
        </w:rPr>
        <w:t xml:space="preserve">less </w:t>
      </w:r>
      <w:r w:rsidRPr="00D6441B">
        <w:rPr>
          <w:rFonts w:ascii="Times New Roman" w:hAnsi="Times New Roman"/>
          <w:sz w:val="24"/>
          <w:szCs w:val="24"/>
          <w:vertAlign w:val="subscript"/>
          <w:lang w:val="en-US"/>
        </w:rPr>
        <w:t xml:space="preserve"> </w:t>
      </w:r>
      <w:r w:rsidRPr="00D6441B">
        <w:rPr>
          <w:rFonts w:ascii="Times New Roman" w:hAnsi="Times New Roman"/>
          <w:sz w:val="24"/>
          <w:szCs w:val="24"/>
          <w:lang w:val="en-US"/>
        </w:rPr>
        <w:t>B</w:t>
      </w:r>
      <w:r w:rsidRPr="00D6441B">
        <w:rPr>
          <w:rFonts w:ascii="Times New Roman" w:hAnsi="Times New Roman"/>
          <w:sz w:val="24"/>
          <w:szCs w:val="24"/>
          <w:vertAlign w:val="subscript"/>
          <w:lang w:val="en-US"/>
        </w:rPr>
        <w:t>2</w:t>
      </w:r>
      <w:r w:rsidRPr="00D6441B">
        <w:rPr>
          <w:rFonts w:ascii="Times New Roman" w:hAnsi="Times New Roman"/>
          <w:sz w:val="24"/>
          <w:szCs w:val="24"/>
          <w:lang w:val="en-US"/>
        </w:rPr>
        <w:t>O</w:t>
      </w:r>
      <w:r w:rsidRPr="00D6441B">
        <w:rPr>
          <w:rFonts w:ascii="Times New Roman" w:hAnsi="Times New Roman"/>
          <w:sz w:val="24"/>
          <w:szCs w:val="24"/>
          <w:vertAlign w:val="subscript"/>
          <w:lang w:val="en-US"/>
        </w:rPr>
        <w:t>3</w:t>
      </w:r>
      <w:proofErr w:type="gramEnd"/>
      <w:r w:rsidRPr="00D6441B">
        <w:rPr>
          <w:rFonts w:ascii="Times New Roman" w:hAnsi="Times New Roman"/>
          <w:sz w:val="24"/>
          <w:szCs w:val="24"/>
          <w:lang w:val="en-US"/>
        </w:rPr>
        <w:t>.</w:t>
      </w:r>
      <w:r w:rsidRPr="00D6441B">
        <w:rPr>
          <w:rFonts w:ascii="Times New Roman" w:hAnsi="Times New Roman"/>
          <w:sz w:val="24"/>
          <w:szCs w:val="24"/>
          <w:vertAlign w:val="subscript"/>
          <w:lang w:val="en-US"/>
        </w:rPr>
        <w:t xml:space="preserve"> </w:t>
      </w:r>
    </w:p>
    <w:p w:rsidR="001F5FA8" w:rsidRPr="00D6441B" w:rsidRDefault="001F5FA8" w:rsidP="001F5FA8">
      <w:pPr>
        <w:spacing w:before="120" w:after="120" w:line="240" w:lineRule="auto"/>
        <w:jc w:val="both"/>
        <w:rPr>
          <w:rFonts w:ascii="Times New Roman" w:hAnsi="Times New Roman"/>
          <w:sz w:val="24"/>
          <w:szCs w:val="24"/>
          <w:lang w:val="en-US"/>
        </w:rPr>
      </w:pPr>
      <w:r w:rsidRPr="00D6441B">
        <w:rPr>
          <w:rFonts w:ascii="Times New Roman" w:hAnsi="Times New Roman"/>
          <w:sz w:val="24"/>
          <w:szCs w:val="24"/>
          <w:lang w:val="en-US"/>
        </w:rPr>
        <w:t>In conclusion, the utilization of leach tailings and boron products in glass production reveals;</w:t>
      </w:r>
    </w:p>
    <w:p w:rsidR="001F5FA8" w:rsidRPr="00D6441B" w:rsidRDefault="001F5FA8" w:rsidP="001F5FA8">
      <w:pPr>
        <w:pStyle w:val="ListeParagraf1"/>
        <w:numPr>
          <w:ilvl w:val="0"/>
          <w:numId w:val="11"/>
        </w:numPr>
        <w:spacing w:before="120" w:after="120"/>
        <w:ind w:left="0" w:right="0" w:firstLine="0"/>
        <w:contextualSpacing/>
        <w:rPr>
          <w:lang w:val="en-US"/>
        </w:rPr>
      </w:pPr>
      <w:r w:rsidRPr="00D6441B">
        <w:rPr>
          <w:lang w:val="en-US"/>
        </w:rPr>
        <w:t>The most energy consuming step in processing plants is grinding mills with only 1% yield. The 99% of the energy is transformed into heat and noise. The necessity of grinding is eliminated due to the use of leach tailings, thus contribute economical advantage.</w:t>
      </w:r>
    </w:p>
    <w:p w:rsidR="001F5FA8" w:rsidRPr="00D6441B" w:rsidRDefault="001F5FA8" w:rsidP="001F5FA8">
      <w:pPr>
        <w:pStyle w:val="ListeParagraf1"/>
        <w:numPr>
          <w:ilvl w:val="0"/>
          <w:numId w:val="11"/>
        </w:numPr>
        <w:spacing w:before="120" w:after="120"/>
        <w:ind w:left="0" w:right="0" w:firstLine="0"/>
        <w:contextualSpacing/>
        <w:rPr>
          <w:lang w:val="en-US"/>
        </w:rPr>
      </w:pPr>
      <w:r w:rsidRPr="00D6441B">
        <w:rPr>
          <w:lang w:val="en-US"/>
        </w:rPr>
        <w:t>The necessity of storing harmful wastes is eliminated</w:t>
      </w:r>
    </w:p>
    <w:p w:rsidR="001F5FA8" w:rsidRPr="00D6441B" w:rsidRDefault="001F5FA8" w:rsidP="001F5FA8">
      <w:pPr>
        <w:pStyle w:val="ListeParagraf1"/>
        <w:numPr>
          <w:ilvl w:val="0"/>
          <w:numId w:val="11"/>
        </w:numPr>
        <w:spacing w:before="120" w:after="120"/>
        <w:ind w:left="0" w:right="0" w:firstLine="0"/>
        <w:contextualSpacing/>
        <w:rPr>
          <w:lang w:val="en-US"/>
        </w:rPr>
      </w:pPr>
      <w:r w:rsidRPr="00D6441B">
        <w:rPr>
          <w:lang w:val="en-US"/>
        </w:rPr>
        <w:t>The widespread utilization of boron products is significant for Turkey, holding 72% of the world boron reserves.</w:t>
      </w:r>
    </w:p>
    <w:p w:rsidR="001F5FA8" w:rsidRPr="00D6441B" w:rsidRDefault="001F5FA8" w:rsidP="001F5FA8">
      <w:pPr>
        <w:pStyle w:val="ListeParagraf1"/>
        <w:numPr>
          <w:ilvl w:val="0"/>
          <w:numId w:val="11"/>
        </w:numPr>
        <w:spacing w:before="120" w:after="120"/>
        <w:ind w:left="0" w:right="0" w:firstLine="0"/>
        <w:contextualSpacing/>
        <w:rPr>
          <w:lang w:val="en-US"/>
        </w:rPr>
      </w:pPr>
      <w:r w:rsidRPr="00D6441B">
        <w:rPr>
          <w:lang w:val="en-US"/>
        </w:rPr>
        <w:t>A new product of colored and hard borosilicate-pyrex would be introduced, besides the production of different colored glasses would also be available.</w:t>
      </w:r>
    </w:p>
    <w:p w:rsidR="001F5FA8" w:rsidRPr="00D6441B" w:rsidRDefault="001F5FA8" w:rsidP="001F5FA8">
      <w:pPr>
        <w:spacing w:before="120" w:after="120" w:line="240" w:lineRule="auto"/>
        <w:jc w:val="both"/>
        <w:rPr>
          <w:rFonts w:ascii="Times New Roman" w:hAnsi="Times New Roman"/>
          <w:i/>
          <w:sz w:val="24"/>
          <w:szCs w:val="24"/>
          <w:lang w:val="en-US"/>
        </w:rPr>
      </w:pPr>
      <w:proofErr w:type="gramStart"/>
      <w:r w:rsidRPr="00D6441B">
        <w:rPr>
          <w:rFonts w:ascii="Times New Roman" w:hAnsi="Times New Roman"/>
          <w:b/>
          <w:i/>
          <w:sz w:val="24"/>
          <w:szCs w:val="24"/>
          <w:lang w:val="en-US"/>
        </w:rPr>
        <w:t>Keywords :</w:t>
      </w:r>
      <w:proofErr w:type="gramEnd"/>
      <w:r w:rsidRPr="00D6441B">
        <w:rPr>
          <w:rFonts w:ascii="Times New Roman" w:hAnsi="Times New Roman"/>
          <w:i/>
          <w:sz w:val="24"/>
          <w:szCs w:val="24"/>
          <w:lang w:val="en-US"/>
        </w:rPr>
        <w:t xml:space="preserve"> cyanide</w:t>
      </w:r>
      <w:r>
        <w:rPr>
          <w:rFonts w:ascii="Times New Roman" w:hAnsi="Times New Roman"/>
          <w:i/>
          <w:sz w:val="24"/>
          <w:szCs w:val="24"/>
          <w:lang w:val="en-US"/>
        </w:rPr>
        <w:t>, recycling,</w:t>
      </w:r>
      <w:r w:rsidRPr="001F3F8B">
        <w:rPr>
          <w:rFonts w:ascii="Times New Roman" w:hAnsi="Times New Roman"/>
          <w:i/>
          <w:sz w:val="24"/>
          <w:szCs w:val="24"/>
          <w:lang w:val="en-US"/>
        </w:rPr>
        <w:t xml:space="preserve"> </w:t>
      </w:r>
      <w:r w:rsidRPr="00D6441B">
        <w:rPr>
          <w:rFonts w:ascii="Times New Roman" w:hAnsi="Times New Roman"/>
          <w:i/>
          <w:sz w:val="24"/>
          <w:szCs w:val="24"/>
          <w:lang w:val="en-US"/>
        </w:rPr>
        <w:t>glass production</w:t>
      </w:r>
      <w:r>
        <w:rPr>
          <w:rFonts w:ascii="Times New Roman" w:hAnsi="Times New Roman"/>
          <w:i/>
          <w:sz w:val="24"/>
          <w:szCs w:val="24"/>
          <w:lang w:val="en-US"/>
        </w:rPr>
        <w:t xml:space="preserve">, </w:t>
      </w:r>
      <w:r w:rsidRPr="00D6441B">
        <w:rPr>
          <w:rFonts w:ascii="Times New Roman" w:hAnsi="Times New Roman"/>
          <w:i/>
          <w:sz w:val="24"/>
          <w:szCs w:val="24"/>
          <w:lang w:val="en-US"/>
        </w:rPr>
        <w:t xml:space="preserve">pyrex production, </w:t>
      </w:r>
      <w:r>
        <w:rPr>
          <w:rFonts w:ascii="Times New Roman" w:hAnsi="Times New Roman"/>
          <w:i/>
          <w:sz w:val="24"/>
          <w:szCs w:val="24"/>
          <w:lang w:val="en-US"/>
        </w:rPr>
        <w:t>t</w:t>
      </w:r>
      <w:r w:rsidRPr="00D6441B">
        <w:rPr>
          <w:rFonts w:ascii="Times New Roman" w:hAnsi="Times New Roman"/>
          <w:i/>
          <w:sz w:val="24"/>
          <w:szCs w:val="24"/>
          <w:lang w:val="en-US"/>
        </w:rPr>
        <w:t>ailings of gold mines</w:t>
      </w:r>
    </w:p>
    <w:p w:rsidR="001F5FA8" w:rsidRDefault="001F5FA8" w:rsidP="001F5FA8">
      <w:pPr>
        <w:spacing w:before="120" w:after="120" w:line="240" w:lineRule="auto"/>
        <w:jc w:val="both"/>
        <w:rPr>
          <w:rFonts w:ascii="Times New Roman" w:hAnsi="Times New Roman"/>
          <w:sz w:val="24"/>
          <w:szCs w:val="24"/>
        </w:rPr>
      </w:pPr>
    </w:p>
    <w:p w:rsidR="006959C4" w:rsidRDefault="006959C4" w:rsidP="001F5FA8">
      <w:pPr>
        <w:spacing w:before="120" w:after="120" w:line="240" w:lineRule="auto"/>
        <w:jc w:val="both"/>
        <w:rPr>
          <w:rFonts w:ascii="Times New Roman" w:hAnsi="Times New Roman"/>
          <w:sz w:val="24"/>
          <w:szCs w:val="24"/>
        </w:rPr>
      </w:pPr>
    </w:p>
    <w:p w:rsidR="006959C4" w:rsidRPr="00D6441B" w:rsidRDefault="006959C4" w:rsidP="001F5FA8">
      <w:pPr>
        <w:spacing w:before="120" w:after="120" w:line="240" w:lineRule="auto"/>
        <w:jc w:val="both"/>
        <w:rPr>
          <w:rFonts w:ascii="Times New Roman" w:hAnsi="Times New Roman"/>
          <w:sz w:val="24"/>
          <w:szCs w:val="24"/>
        </w:rPr>
      </w:pPr>
    </w:p>
    <w:p w:rsidR="006959C4" w:rsidRDefault="006959C4" w:rsidP="001F5FA8">
      <w:pPr>
        <w:spacing w:before="120" w:after="120" w:line="240" w:lineRule="auto"/>
        <w:jc w:val="both"/>
        <w:rPr>
          <w:rFonts w:ascii="Times New Roman" w:hAnsi="Times New Roman"/>
          <w:b/>
          <w:sz w:val="24"/>
          <w:szCs w:val="24"/>
        </w:rPr>
        <w:sectPr w:rsidR="006959C4" w:rsidSect="00E230BE">
          <w:type w:val="continuous"/>
          <w:pgSz w:w="11906" w:h="16838"/>
          <w:pgMar w:top="1417" w:right="849" w:bottom="1417" w:left="1134" w:header="708" w:footer="340" w:gutter="0"/>
          <w:cols w:space="708"/>
          <w:docGrid w:linePitch="360"/>
        </w:sect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lastRenderedPageBreak/>
        <w:t>1. GİRİŞ</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Hızlı nüfus artışı, kentleşme ve endüstrileşme hem atık miktarında, hem de atık türlerinde önemli bir artışa sebep olmaktadır. Teknolojik gelişmeyle bu artış iyice hızlanmakta ve atıkların elimine edilmesi önemli bir sorun olarak karşımıza çıkmaktadır. Büyük miktarlardaki atıkların depolanması ek bir maliyet gerektirdiği gibi, çevreye olumsuz etkileri de söz konusudur. Bu amaçla son yıllarda özellikle gelişmiş ülkeler, atıkların yeniden üretime kazandırılması için çeşitli araştırmalar yapmaktadırlar.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Ülkemizde de altın üretimi her yıl artan oranda devam etmektedir. Toplam 6500 tonluk altın rezervine sahip Türkiye’de yılda 16 ton altın üretimi yapılırken, 222 ton altın ithal edilmektedir. Son 10 yıldaki üretim artışı ise yaklaşık %100’dür.  Bu artışın gelecek yıllarda da devam edeceği öngörülmektedir.</w:t>
      </w:r>
      <w:r w:rsidRPr="00D6441B">
        <w:rPr>
          <w:rFonts w:ascii="Times New Roman" w:hAnsi="Times New Roman"/>
          <w:color w:val="FF0000"/>
          <w:sz w:val="24"/>
          <w:szCs w:val="24"/>
        </w:rPr>
        <w:t xml:space="preserve"> </w:t>
      </w:r>
      <w:r w:rsidRPr="00D6441B">
        <w:rPr>
          <w:rFonts w:ascii="Times New Roman" w:hAnsi="Times New Roman"/>
          <w:sz w:val="24"/>
          <w:szCs w:val="24"/>
        </w:rPr>
        <w:t>(Sayın, E; Batar, T. Ve diğ).</w:t>
      </w:r>
      <w:r w:rsidRPr="00D6441B">
        <w:rPr>
          <w:rFonts w:ascii="Times New Roman" w:hAnsi="Times New Roman"/>
          <w:color w:val="FF0000"/>
          <w:sz w:val="24"/>
          <w:szCs w:val="24"/>
        </w:rPr>
        <w:t xml:space="preserve"> </w:t>
      </w:r>
      <w:r w:rsidRPr="00D6441B">
        <w:rPr>
          <w:rFonts w:ascii="Times New Roman" w:hAnsi="Times New Roman"/>
          <w:sz w:val="24"/>
          <w:szCs w:val="24"/>
        </w:rPr>
        <w:t>Diğer bir ifadeyle, ülkemiz kendi altın ihtiyacının ancak 1/14’ünü karşılayabilmektedir. Mevcut rezerv ve gelişen teknolojisi dikkate alındığında ülkemizin, kısa bir süre içerisinde, kendi ihtiyacını karşılayacağı tahmin edilmektedir. Bu proje çalışmasının amacı da, muhtemel üretim artışı sonucu ortaya çıkacak liç atıklarının değerlendirilebileceği bir sahayı ortaya çıkararak hem çevrenin korunmasına yardımcı olmak, hem de ekonomiye katkıda bulunmaktır.</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Altın liçi sonrası kalan altın cevheri katı atıklarının içerdiği yüksek miktardaki SiO</w:t>
      </w:r>
      <w:r w:rsidRPr="00D6441B">
        <w:rPr>
          <w:rFonts w:ascii="Times New Roman" w:hAnsi="Times New Roman"/>
          <w:sz w:val="24"/>
          <w:szCs w:val="24"/>
          <w:vertAlign w:val="subscript"/>
        </w:rPr>
        <w:t>2</w:t>
      </w:r>
      <w:r w:rsidRPr="00D6441B">
        <w:rPr>
          <w:rFonts w:ascii="Times New Roman" w:hAnsi="Times New Roman"/>
          <w:sz w:val="24"/>
          <w:szCs w:val="24"/>
        </w:rPr>
        <w:t xml:space="preserve"> sebebiyle; hem atıkların değerlendirilmesi, hem de çevre kirliliğinin önlenmesi amacıyla cam sanayinde (özel cam üretiminde) hammadde olarak kullanılmıştır. Bu çalışmada, altının kazanımında tank liçi sonrasında kalan %45 katı/sıvı oranındaki atık, filtrasyon işleminden geçirilerek faz ayrımı sağlanmış ve doğal kurutma işlemiyle kurutulmuştur. Elde edilen altın liçi sonrası kalan katı atığın cam sanayinde değerlendirilebilirliğinin belirlenmesi amacıyla XRD analizi, kimyasal analiz ve eluat testi yapılarak atığın karakteristik özellikleri incelenmiştir. Yapılan çalışmalar, liç atığının cam üretiminde </w:t>
      </w:r>
      <w:r w:rsidRPr="00D6441B">
        <w:rPr>
          <w:rFonts w:ascii="Times New Roman" w:hAnsi="Times New Roman"/>
          <w:sz w:val="24"/>
          <w:szCs w:val="24"/>
        </w:rPr>
        <w:lastRenderedPageBreak/>
        <w:t>hammadde olarak kullanılabileceğini ortaya koymuştur.</w:t>
      </w:r>
    </w:p>
    <w:p w:rsidR="001F5FA8" w:rsidRPr="00D6441B" w:rsidRDefault="001F5FA8" w:rsidP="001F5FA8">
      <w:pPr>
        <w:autoSpaceDE w:val="0"/>
        <w:autoSpaceDN w:val="0"/>
        <w:adjustRightInd w:val="0"/>
        <w:spacing w:before="120" w:after="120" w:line="240" w:lineRule="auto"/>
        <w:jc w:val="both"/>
        <w:rPr>
          <w:rFonts w:ascii="Times New Roman" w:hAnsi="Times New Roman"/>
          <w:color w:val="000000"/>
          <w:sz w:val="24"/>
          <w:szCs w:val="24"/>
        </w:rPr>
      </w:pPr>
      <w:r w:rsidRPr="00D6441B">
        <w:rPr>
          <w:rFonts w:ascii="Times New Roman" w:hAnsi="Times New Roman"/>
          <w:sz w:val="24"/>
          <w:szCs w:val="24"/>
        </w:rPr>
        <w:t xml:space="preserve">Bu çalışmanın diğer bir amacı da, farklı bor türevlerine yeni kullanım alanları açmaktır. Burada amaç sadece bor katkılı bir malzeme üretmek de değil, aynı zamanda ülkemiz kaynaklarının kendi ülkemizde endüstriyel bir ürüne dönüştürülmesini sağlamaktır. Çünkü ülkemiz dünya bor rezervinin %72’sine sahip olmakla birlikte, sahip olduğu bu potansiyeli yeterince değerlendirememektedir. Pazarlanan bor türevleri (kalsine tinkal, borik asit, boraks pentahidrat) diğer ülkelerde ancak hammadde olarak kullanılmaktadır. </w:t>
      </w:r>
      <w:r w:rsidRPr="00D6441B">
        <w:rPr>
          <w:rFonts w:ascii="Times New Roman" w:hAnsi="Times New Roman"/>
          <w:color w:val="000000"/>
          <w:sz w:val="24"/>
          <w:szCs w:val="24"/>
        </w:rPr>
        <w:t>Bor; pencere camı, şişe camı vb sanayilerde ender hallerde kullanılmaktadır. Özel camlarda ise borik asit vazgeçilmeyen bir unsur olup, rafine sulu / susuz boraks, borik asit veya kolemanit/boraks gibi doğal haliyle kullanılmaktadır. Çok özel durumlarda potasyum penta borat ve bor oksitler kullanılmaktadır. Bor, ergimiş haldeki cam ara mamülüne katıldığında onun viskozitesini, yüzey sertliğini ve dayanıklılığını arttırmakta ve ısı izolasyonunu gerekli görüldüğü yerlerde cam mamüllerine katılmaktadır. Dünya’da borun %42’si, ABD’de ise %71’i cam endüstrisinde tüketilmektedir. Camın ısıya dayanmasını, cam imalatı sırasında çabuk ergimesini ve devitrifikasyonun önlenmesini sağlayan bor; yansıtma, kırma, parlama gibi özelliklerini de arttırmaktadır. Bor, camı aside ve çizilmeye karşı korur. Cam tipine bağlı olarak; cam eriğinin %0.5 ile %0.23’ü bor oksitten oluşmaktadır. Örneğin pyrex’de %13,5 B</w:t>
      </w:r>
      <w:r w:rsidRPr="00D6441B">
        <w:rPr>
          <w:rFonts w:ascii="Times New Roman" w:hAnsi="Times New Roman"/>
          <w:color w:val="000000"/>
          <w:sz w:val="24"/>
          <w:szCs w:val="24"/>
          <w:vertAlign w:val="subscript"/>
        </w:rPr>
        <w:t>2</w:t>
      </w:r>
      <w:r w:rsidRPr="00D6441B">
        <w:rPr>
          <w:rFonts w:ascii="Times New Roman" w:hAnsi="Times New Roman"/>
          <w:color w:val="000000"/>
          <w:sz w:val="24"/>
          <w:szCs w:val="24"/>
        </w:rPr>
        <w:t>O</w:t>
      </w:r>
      <w:r w:rsidRPr="00D6441B">
        <w:rPr>
          <w:rFonts w:ascii="Times New Roman" w:hAnsi="Times New Roman"/>
          <w:color w:val="000000"/>
          <w:sz w:val="24"/>
          <w:szCs w:val="24"/>
          <w:vertAlign w:val="subscript"/>
        </w:rPr>
        <w:t>3</w:t>
      </w:r>
      <w:r w:rsidRPr="00D6441B">
        <w:rPr>
          <w:rFonts w:ascii="Times New Roman" w:hAnsi="Times New Roman"/>
          <w:color w:val="000000"/>
          <w:sz w:val="24"/>
          <w:szCs w:val="24"/>
        </w:rPr>
        <w:t xml:space="preserve"> vardır. Genellikle cama boraks, kolemanit, borik asit halinde karma olarak ilave edilmektedir. </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Proje kapsamında üretilen camlar, halen faaliyetini sürdüren bir cam fabrikasında elde edilmiştir. Fabrikanın üretiminde kullanmış olduğu karışıma (mısır kumu) farklı oranlarda liç atığı ile bor türevlerinden kalsine tinkal, borik asit, boraks pentahidrat ilave edilerek renkli, sert </w:t>
      </w:r>
      <w:r w:rsidRPr="00D6441B">
        <w:rPr>
          <w:rFonts w:ascii="Times New Roman" w:hAnsi="Times New Roman"/>
          <w:color w:val="000000"/>
          <w:sz w:val="24"/>
          <w:szCs w:val="24"/>
        </w:rPr>
        <w:t xml:space="preserve">borosilikat-borcam </w:t>
      </w:r>
      <w:r w:rsidRPr="00D6441B">
        <w:rPr>
          <w:rFonts w:ascii="Times New Roman" w:hAnsi="Times New Roman"/>
          <w:sz w:val="24"/>
          <w:szCs w:val="24"/>
        </w:rPr>
        <w:t xml:space="preserve">üretilmiştir. Mısır kumu dışındaki tüm bileşenler, fabrikanın kullandıklarından farklıdır. Üretilen camlar, fabrikanın ürettikleriyle karşılaştırıldığında yaklaşık benzer sonuçlar elde edilmiştir. </w:t>
      </w:r>
    </w:p>
    <w:p w:rsidR="001F5FA8" w:rsidRPr="00F95BBF" w:rsidRDefault="001F5FA8" w:rsidP="001F5FA8">
      <w:pPr>
        <w:pStyle w:val="Heading3"/>
        <w:spacing w:before="120" w:after="120" w:line="240" w:lineRule="auto"/>
        <w:jc w:val="both"/>
        <w:rPr>
          <w:rFonts w:ascii="Times New Roman" w:hAnsi="Times New Roman"/>
          <w:sz w:val="24"/>
          <w:szCs w:val="24"/>
        </w:rPr>
      </w:pPr>
      <w:bookmarkStart w:id="32" w:name="_Toc263980430"/>
      <w:bookmarkStart w:id="33" w:name="_Toc263981799"/>
      <w:bookmarkStart w:id="34" w:name="_Toc263982383"/>
      <w:bookmarkStart w:id="35" w:name="_Toc263982794"/>
      <w:bookmarkStart w:id="36" w:name="_Toc263982907"/>
      <w:bookmarkStart w:id="37" w:name="_Toc263983159"/>
      <w:r w:rsidRPr="00F95BBF">
        <w:rPr>
          <w:rFonts w:ascii="Times New Roman" w:hAnsi="Times New Roman"/>
          <w:sz w:val="24"/>
          <w:szCs w:val="24"/>
        </w:rPr>
        <w:lastRenderedPageBreak/>
        <w:t>2. LİÇ ATIĞININ KARAKTERİZASYONU</w:t>
      </w:r>
      <w:bookmarkEnd w:id="32"/>
      <w:bookmarkEnd w:id="33"/>
      <w:bookmarkEnd w:id="34"/>
      <w:bookmarkEnd w:id="35"/>
      <w:bookmarkEnd w:id="36"/>
      <w:bookmarkEnd w:id="37"/>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Cevherin karakteristik yapısını incelemek üzere elek metal analizi, X-Ray Difraksiyon (XRD), </w:t>
      </w:r>
      <w:r w:rsidRPr="00D6441B">
        <w:rPr>
          <w:rFonts w:ascii="Times New Roman" w:hAnsi="Times New Roman"/>
          <w:sz w:val="24"/>
          <w:szCs w:val="24"/>
        </w:rPr>
        <w:lastRenderedPageBreak/>
        <w:t xml:space="preserve">kimyasal analiz, mikroskop analizleri yapılmıştır. XRD sonuçlarına göre cevher içinde kuvars (SiO2), ortoklas (KAlSi3O8), pirit (FeS2) mineralleri tespit edilmiştir (Şekil 1) (Pala, A.; Erkan,C.; Demirege,S.,2010). </w:t>
      </w:r>
    </w:p>
    <w:p w:rsidR="006959C4" w:rsidRDefault="006959C4" w:rsidP="001F5FA8">
      <w:pPr>
        <w:spacing w:before="120" w:after="120" w:line="240" w:lineRule="auto"/>
        <w:jc w:val="both"/>
        <w:rPr>
          <w:rFonts w:ascii="Times New Roman" w:hAnsi="Times New Roman"/>
          <w:sz w:val="24"/>
          <w:szCs w:val="24"/>
        </w:rPr>
        <w:sectPr w:rsidR="006959C4" w:rsidSect="00E230BE">
          <w:type w:val="continuous"/>
          <w:pgSz w:w="11906" w:h="16838"/>
          <w:pgMar w:top="1417" w:right="849" w:bottom="1417" w:left="1134" w:header="708" w:footer="340" w:gutter="0"/>
          <w:cols w:num="2" w:space="708"/>
          <w:docGrid w:linePitch="360"/>
        </w:sectPr>
      </w:pPr>
    </w:p>
    <w:p w:rsidR="001F5FA8" w:rsidRPr="00D6441B" w:rsidRDefault="001F5FA8" w:rsidP="001F5FA8">
      <w:pPr>
        <w:spacing w:before="120" w:after="120" w:line="240" w:lineRule="auto"/>
        <w:jc w:val="both"/>
        <w:rPr>
          <w:rFonts w:ascii="Times New Roman" w:hAnsi="Times New Roman"/>
          <w:sz w:val="24"/>
          <w:szCs w:val="24"/>
        </w:rPr>
      </w:pPr>
      <w:r>
        <w:rPr>
          <w:rFonts w:ascii="Times New Roman" w:hAnsi="Times New Roman"/>
          <w:noProof/>
          <w:sz w:val="24"/>
          <w:szCs w:val="24"/>
          <w:lang w:val="en-AU" w:eastAsia="en-AU"/>
        </w:rPr>
        <w:lastRenderedPageBreak/>
        <w:drawing>
          <wp:anchor distT="0" distB="0" distL="114300" distR="114300" simplePos="0" relativeHeight="251662336" behindDoc="0" locked="0" layoutInCell="1" allowOverlap="1">
            <wp:simplePos x="0" y="0"/>
            <wp:positionH relativeFrom="margin">
              <wp:posOffset>74930</wp:posOffset>
            </wp:positionH>
            <wp:positionV relativeFrom="paragraph">
              <wp:posOffset>275590</wp:posOffset>
            </wp:positionV>
            <wp:extent cx="6190615" cy="2084070"/>
            <wp:effectExtent l="19050" t="19050" r="19685" b="11430"/>
            <wp:wrapSquare wrapText="bothSides"/>
            <wp:docPr id="230"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44" cstate="print"/>
                    <a:srcRect/>
                    <a:stretch>
                      <a:fillRect/>
                    </a:stretch>
                  </pic:blipFill>
                  <pic:spPr bwMode="auto">
                    <a:xfrm>
                      <a:off x="0" y="0"/>
                      <a:ext cx="6190615" cy="2084070"/>
                    </a:xfrm>
                    <a:prstGeom prst="rect">
                      <a:avLst/>
                    </a:prstGeom>
                    <a:noFill/>
                    <a:ln w="15875">
                      <a:solidFill>
                        <a:srgbClr val="000000"/>
                      </a:solidFill>
                      <a:miter lim="800000"/>
                      <a:headEnd/>
                      <a:tailEnd/>
                    </a:ln>
                  </pic:spPr>
                </pic:pic>
              </a:graphicData>
            </a:graphic>
          </wp:anchor>
        </w:drawing>
      </w:r>
    </w:p>
    <w:p w:rsidR="001F5FA8" w:rsidRPr="00D6441B" w:rsidRDefault="001F5FA8" w:rsidP="001F5FA8">
      <w:pPr>
        <w:autoSpaceDE w:val="0"/>
        <w:autoSpaceDN w:val="0"/>
        <w:adjustRightInd w:val="0"/>
        <w:spacing w:before="120" w:after="120" w:line="240" w:lineRule="auto"/>
        <w:jc w:val="center"/>
        <w:rPr>
          <w:rFonts w:ascii="Times New Roman" w:hAnsi="Times New Roman"/>
          <w:bCs/>
          <w:color w:val="000000"/>
          <w:sz w:val="24"/>
          <w:szCs w:val="24"/>
        </w:rPr>
      </w:pPr>
      <w:r w:rsidRPr="00D6441B">
        <w:rPr>
          <w:rFonts w:ascii="Times New Roman" w:hAnsi="Times New Roman"/>
          <w:b/>
          <w:bCs/>
          <w:color w:val="000000"/>
          <w:sz w:val="24"/>
          <w:szCs w:val="24"/>
        </w:rPr>
        <w:t>Şekil 1.</w:t>
      </w:r>
      <w:r w:rsidRPr="00D6441B">
        <w:rPr>
          <w:rFonts w:ascii="Times New Roman" w:hAnsi="Times New Roman"/>
          <w:bCs/>
          <w:color w:val="000000"/>
          <w:sz w:val="24"/>
          <w:szCs w:val="24"/>
        </w:rPr>
        <w:t xml:space="preserve"> Liç atığı XRD analizi (O: Ortaklas, Q: Kuvars, P: Pirit)</w:t>
      </w:r>
    </w:p>
    <w:p w:rsidR="006959C4" w:rsidRDefault="006959C4" w:rsidP="001F5FA8">
      <w:pPr>
        <w:spacing w:before="120" w:after="120" w:line="240" w:lineRule="auto"/>
        <w:jc w:val="both"/>
        <w:rPr>
          <w:rFonts w:ascii="Times New Roman" w:hAnsi="Times New Roman"/>
          <w:bCs/>
          <w:color w:val="000000"/>
          <w:sz w:val="24"/>
          <w:szCs w:val="24"/>
        </w:rPr>
        <w:sectPr w:rsidR="006959C4" w:rsidSect="006959C4">
          <w:type w:val="continuous"/>
          <w:pgSz w:w="11906" w:h="16838"/>
          <w:pgMar w:top="1417" w:right="849" w:bottom="1417" w:left="1134" w:header="708" w:footer="708" w:gutter="0"/>
          <w:cols w:space="708"/>
          <w:docGrid w:linePitch="360"/>
        </w:sectPr>
      </w:pPr>
    </w:p>
    <w:p w:rsidR="001F5FA8" w:rsidRPr="00D6441B" w:rsidRDefault="001F5FA8" w:rsidP="001F5FA8">
      <w:pPr>
        <w:spacing w:before="120" w:after="120" w:line="240" w:lineRule="auto"/>
        <w:jc w:val="both"/>
        <w:rPr>
          <w:rFonts w:ascii="Times New Roman" w:hAnsi="Times New Roman"/>
          <w:bCs/>
          <w:color w:val="000000"/>
          <w:sz w:val="24"/>
          <w:szCs w:val="24"/>
        </w:rPr>
      </w:pPr>
    </w:p>
    <w:p w:rsidR="006959C4" w:rsidRDefault="001F5FA8" w:rsidP="001F5FA8">
      <w:pPr>
        <w:spacing w:before="120" w:after="12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 xml:space="preserve">Liç atığı elemental analizleri Atomik Absorbsiyon Spektrofotometresi (AAS) ’de Perkin-Elmer analiz yöntemi kullanılarak yapılmıştır(Tablo 1). Tablo 2’de ise İZÇEV </w:t>
      </w:r>
    </w:p>
    <w:p w:rsidR="006959C4" w:rsidRDefault="006959C4" w:rsidP="001F5FA8">
      <w:pPr>
        <w:spacing w:before="120" w:after="120" w:line="240" w:lineRule="auto"/>
        <w:jc w:val="both"/>
        <w:rPr>
          <w:rFonts w:ascii="Times New Roman" w:hAnsi="Times New Roman"/>
          <w:bCs/>
          <w:color w:val="000000"/>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bCs/>
          <w:color w:val="000000"/>
          <w:sz w:val="24"/>
          <w:szCs w:val="24"/>
        </w:rPr>
        <w:t xml:space="preserve">Çevre Laboratuarı tarafından yapılan atık eluat testi sonuçları yer almaktadır </w:t>
      </w:r>
      <w:r w:rsidRPr="00D6441B">
        <w:rPr>
          <w:rFonts w:ascii="Times New Roman" w:hAnsi="Times New Roman"/>
          <w:sz w:val="24"/>
          <w:szCs w:val="24"/>
        </w:rPr>
        <w:t>(Pala, A.; Erkan,C.; Demirege,S.,2010).</w:t>
      </w:r>
    </w:p>
    <w:p w:rsidR="001F5FA8" w:rsidRPr="00D6441B" w:rsidRDefault="001F5FA8" w:rsidP="001F5FA8">
      <w:pPr>
        <w:spacing w:before="120" w:after="120" w:line="240" w:lineRule="auto"/>
        <w:jc w:val="both"/>
        <w:rPr>
          <w:rFonts w:ascii="Times New Roman" w:hAnsi="Times New Roman"/>
          <w:sz w:val="24"/>
          <w:szCs w:val="24"/>
        </w:rPr>
      </w:pPr>
    </w:p>
    <w:p w:rsidR="006959C4" w:rsidRDefault="006959C4" w:rsidP="001F5FA8">
      <w:pPr>
        <w:spacing w:before="120" w:after="120" w:line="240" w:lineRule="auto"/>
        <w:jc w:val="both"/>
        <w:rPr>
          <w:rFonts w:ascii="Times New Roman" w:hAnsi="Times New Roman"/>
          <w:b/>
          <w:bCs/>
          <w:color w:val="000000"/>
          <w:sz w:val="24"/>
          <w:szCs w:val="24"/>
        </w:rPr>
        <w:sectPr w:rsidR="006959C4" w:rsidSect="006959C4">
          <w:type w:val="continuous"/>
          <w:pgSz w:w="11906" w:h="16838"/>
          <w:pgMar w:top="1417" w:right="849" w:bottom="1417" w:left="1134" w:header="708" w:footer="708" w:gutter="0"/>
          <w:cols w:num="2" w:space="708"/>
          <w:docGrid w:linePitch="360"/>
        </w:sectPr>
      </w:pPr>
    </w:p>
    <w:p w:rsidR="006959C4" w:rsidRDefault="006959C4" w:rsidP="001F5FA8">
      <w:pPr>
        <w:spacing w:before="120" w:after="120" w:line="240" w:lineRule="auto"/>
        <w:jc w:val="both"/>
        <w:rPr>
          <w:rFonts w:ascii="Times New Roman" w:hAnsi="Times New Roman"/>
          <w:b/>
          <w:bCs/>
          <w:color w:val="000000"/>
          <w:sz w:val="24"/>
          <w:szCs w:val="24"/>
        </w:rPr>
      </w:pPr>
    </w:p>
    <w:p w:rsidR="001F5FA8" w:rsidRPr="00D6441B" w:rsidRDefault="001F5FA8" w:rsidP="001F5FA8">
      <w:pPr>
        <w:spacing w:before="120" w:after="120" w:line="240" w:lineRule="auto"/>
        <w:jc w:val="both"/>
        <w:rPr>
          <w:rFonts w:ascii="Times New Roman" w:hAnsi="Times New Roman"/>
          <w:bCs/>
          <w:color w:val="000000"/>
          <w:sz w:val="24"/>
          <w:szCs w:val="24"/>
        </w:rPr>
      </w:pPr>
      <w:r w:rsidRPr="00D6441B">
        <w:rPr>
          <w:rFonts w:ascii="Times New Roman" w:hAnsi="Times New Roman"/>
          <w:b/>
          <w:bCs/>
          <w:color w:val="000000"/>
          <w:sz w:val="24"/>
          <w:szCs w:val="24"/>
        </w:rPr>
        <w:t>Tablo 1.</w:t>
      </w:r>
      <w:r w:rsidRPr="00D6441B">
        <w:rPr>
          <w:rFonts w:ascii="Times New Roman" w:hAnsi="Times New Roman"/>
          <w:bCs/>
          <w:color w:val="000000"/>
          <w:sz w:val="24"/>
          <w:szCs w:val="24"/>
        </w:rPr>
        <w:t xml:space="preserve"> Atık numunesinin kimyasal analiz sonuçları (DEU, Maden Müh Lab.)</w:t>
      </w:r>
    </w:p>
    <w:tbl>
      <w:tblPr>
        <w:tblpPr w:leftFromText="141" w:rightFromText="141" w:vertAnchor="text" w:horzAnchor="page" w:tblpX="1265" w:tblpY="9"/>
        <w:tblW w:w="7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4"/>
        <w:gridCol w:w="1835"/>
        <w:gridCol w:w="1834"/>
        <w:gridCol w:w="1835"/>
      </w:tblGrid>
      <w:tr w:rsidR="001F5FA8" w:rsidRPr="00D6441B" w:rsidTr="008D1314">
        <w:trPr>
          <w:trHeight w:val="113"/>
        </w:trPr>
        <w:tc>
          <w:tcPr>
            <w:tcW w:w="1834" w:type="dxa"/>
            <w:noWrap/>
          </w:tcPr>
          <w:p w:rsidR="001F5FA8" w:rsidRPr="00D6441B" w:rsidRDefault="001F5FA8" w:rsidP="008D1314">
            <w:pPr>
              <w:spacing w:after="0" w:line="240" w:lineRule="auto"/>
              <w:jc w:val="both"/>
              <w:rPr>
                <w:rFonts w:ascii="Times New Roman" w:hAnsi="Times New Roman"/>
                <w:b/>
                <w:bCs/>
                <w:color w:val="000000"/>
                <w:sz w:val="24"/>
                <w:szCs w:val="24"/>
              </w:rPr>
            </w:pPr>
            <w:r w:rsidRPr="00D6441B">
              <w:rPr>
                <w:rFonts w:ascii="Times New Roman" w:hAnsi="Times New Roman"/>
                <w:b/>
                <w:bCs/>
                <w:color w:val="000000"/>
                <w:sz w:val="24"/>
                <w:szCs w:val="24"/>
              </w:rPr>
              <w:t>Element</w:t>
            </w:r>
          </w:p>
        </w:tc>
        <w:tc>
          <w:tcPr>
            <w:tcW w:w="1835" w:type="dxa"/>
            <w:noWrap/>
          </w:tcPr>
          <w:p w:rsidR="001F5FA8" w:rsidRPr="00D6441B" w:rsidRDefault="001F5FA8" w:rsidP="008D1314">
            <w:pPr>
              <w:spacing w:after="0" w:line="240" w:lineRule="auto"/>
              <w:jc w:val="both"/>
              <w:rPr>
                <w:rFonts w:ascii="Times New Roman" w:hAnsi="Times New Roman"/>
                <w:b/>
                <w:bCs/>
                <w:color w:val="000000"/>
                <w:sz w:val="24"/>
                <w:szCs w:val="24"/>
              </w:rPr>
            </w:pPr>
            <w:r w:rsidRPr="00D6441B">
              <w:rPr>
                <w:rFonts w:ascii="Times New Roman" w:hAnsi="Times New Roman"/>
                <w:b/>
                <w:bCs/>
                <w:color w:val="000000"/>
                <w:sz w:val="24"/>
                <w:szCs w:val="24"/>
              </w:rPr>
              <w:t>Ortalama</w:t>
            </w:r>
          </w:p>
        </w:tc>
        <w:tc>
          <w:tcPr>
            <w:tcW w:w="1834" w:type="dxa"/>
          </w:tcPr>
          <w:p w:rsidR="001F5FA8" w:rsidRPr="00D6441B" w:rsidRDefault="001F5FA8" w:rsidP="008D1314">
            <w:pPr>
              <w:spacing w:after="0" w:line="240" w:lineRule="auto"/>
              <w:jc w:val="both"/>
              <w:rPr>
                <w:rFonts w:ascii="Times New Roman" w:hAnsi="Times New Roman"/>
                <w:b/>
                <w:bCs/>
                <w:color w:val="000000"/>
                <w:sz w:val="24"/>
                <w:szCs w:val="24"/>
              </w:rPr>
            </w:pPr>
            <w:r w:rsidRPr="00D6441B">
              <w:rPr>
                <w:rFonts w:ascii="Times New Roman" w:hAnsi="Times New Roman"/>
                <w:b/>
                <w:bCs/>
                <w:color w:val="000000"/>
                <w:sz w:val="24"/>
                <w:szCs w:val="24"/>
              </w:rPr>
              <w:t>Element</w:t>
            </w:r>
          </w:p>
        </w:tc>
        <w:tc>
          <w:tcPr>
            <w:tcW w:w="1835" w:type="dxa"/>
          </w:tcPr>
          <w:p w:rsidR="001F5FA8" w:rsidRPr="00D6441B" w:rsidRDefault="001F5FA8" w:rsidP="008D1314">
            <w:pPr>
              <w:spacing w:after="0" w:line="240" w:lineRule="auto"/>
              <w:jc w:val="both"/>
              <w:rPr>
                <w:rFonts w:ascii="Times New Roman" w:hAnsi="Times New Roman"/>
                <w:b/>
                <w:bCs/>
                <w:color w:val="000000"/>
                <w:sz w:val="24"/>
                <w:szCs w:val="24"/>
              </w:rPr>
            </w:pPr>
            <w:r w:rsidRPr="00D6441B">
              <w:rPr>
                <w:rFonts w:ascii="Times New Roman" w:hAnsi="Times New Roman"/>
                <w:b/>
                <w:bCs/>
                <w:color w:val="000000"/>
                <w:sz w:val="24"/>
                <w:szCs w:val="24"/>
              </w:rPr>
              <w:t>Ortalama</w:t>
            </w:r>
          </w:p>
        </w:tc>
      </w:tr>
      <w:tr w:rsidR="001F5FA8" w:rsidRPr="00D6441B" w:rsidTr="008D1314">
        <w:trPr>
          <w:trHeight w:val="113"/>
        </w:trPr>
        <w:tc>
          <w:tcPr>
            <w:tcW w:w="1834" w:type="dxa"/>
            <w:noWrap/>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Au (g/t)</w:t>
            </w:r>
          </w:p>
        </w:tc>
        <w:tc>
          <w:tcPr>
            <w:tcW w:w="1835" w:type="dxa"/>
            <w:noWrap/>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1.530</w:t>
            </w:r>
          </w:p>
        </w:tc>
        <w:tc>
          <w:tcPr>
            <w:tcW w:w="1834" w:type="dxa"/>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Mn (%)</w:t>
            </w:r>
          </w:p>
        </w:tc>
        <w:tc>
          <w:tcPr>
            <w:tcW w:w="1835" w:type="dxa"/>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0,954</w:t>
            </w:r>
          </w:p>
        </w:tc>
      </w:tr>
      <w:tr w:rsidR="001F5FA8" w:rsidRPr="00D6441B" w:rsidTr="008D1314">
        <w:trPr>
          <w:trHeight w:val="113"/>
        </w:trPr>
        <w:tc>
          <w:tcPr>
            <w:tcW w:w="1834" w:type="dxa"/>
            <w:noWrap/>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Ag (%)</w:t>
            </w:r>
          </w:p>
        </w:tc>
        <w:tc>
          <w:tcPr>
            <w:tcW w:w="1835" w:type="dxa"/>
            <w:noWrap/>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0,002</w:t>
            </w:r>
          </w:p>
        </w:tc>
        <w:tc>
          <w:tcPr>
            <w:tcW w:w="1834" w:type="dxa"/>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Fe (%)</w:t>
            </w:r>
          </w:p>
        </w:tc>
        <w:tc>
          <w:tcPr>
            <w:tcW w:w="1835" w:type="dxa"/>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8,682</w:t>
            </w:r>
          </w:p>
        </w:tc>
      </w:tr>
      <w:tr w:rsidR="001F5FA8" w:rsidRPr="00D6441B" w:rsidTr="008D1314">
        <w:trPr>
          <w:trHeight w:val="113"/>
        </w:trPr>
        <w:tc>
          <w:tcPr>
            <w:tcW w:w="1834" w:type="dxa"/>
            <w:noWrap/>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Cu (%)</w:t>
            </w:r>
          </w:p>
        </w:tc>
        <w:tc>
          <w:tcPr>
            <w:tcW w:w="1835" w:type="dxa"/>
            <w:noWrap/>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0,017</w:t>
            </w:r>
          </w:p>
        </w:tc>
        <w:tc>
          <w:tcPr>
            <w:tcW w:w="1834" w:type="dxa"/>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Sb (%)</w:t>
            </w:r>
          </w:p>
        </w:tc>
        <w:tc>
          <w:tcPr>
            <w:tcW w:w="1835" w:type="dxa"/>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0,002</w:t>
            </w:r>
          </w:p>
        </w:tc>
      </w:tr>
      <w:tr w:rsidR="001F5FA8" w:rsidRPr="00D6441B" w:rsidTr="008D1314">
        <w:trPr>
          <w:trHeight w:val="113"/>
        </w:trPr>
        <w:tc>
          <w:tcPr>
            <w:tcW w:w="1834" w:type="dxa"/>
            <w:noWrap/>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Pb (%)</w:t>
            </w:r>
          </w:p>
        </w:tc>
        <w:tc>
          <w:tcPr>
            <w:tcW w:w="1835" w:type="dxa"/>
            <w:noWrap/>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0,224</w:t>
            </w:r>
          </w:p>
        </w:tc>
        <w:tc>
          <w:tcPr>
            <w:tcW w:w="1834" w:type="dxa"/>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Co (%)</w:t>
            </w:r>
          </w:p>
        </w:tc>
        <w:tc>
          <w:tcPr>
            <w:tcW w:w="1835" w:type="dxa"/>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0,002</w:t>
            </w:r>
          </w:p>
        </w:tc>
      </w:tr>
      <w:tr w:rsidR="001F5FA8" w:rsidRPr="00D6441B" w:rsidTr="008D1314">
        <w:trPr>
          <w:trHeight w:val="113"/>
        </w:trPr>
        <w:tc>
          <w:tcPr>
            <w:tcW w:w="1834" w:type="dxa"/>
            <w:noWrap/>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Zn (%)</w:t>
            </w:r>
          </w:p>
        </w:tc>
        <w:tc>
          <w:tcPr>
            <w:tcW w:w="1835" w:type="dxa"/>
            <w:noWrap/>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0,048</w:t>
            </w:r>
          </w:p>
        </w:tc>
        <w:tc>
          <w:tcPr>
            <w:tcW w:w="1834" w:type="dxa"/>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Cd (%)</w:t>
            </w:r>
          </w:p>
        </w:tc>
        <w:tc>
          <w:tcPr>
            <w:tcW w:w="1835" w:type="dxa"/>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w:t>
            </w:r>
          </w:p>
        </w:tc>
      </w:tr>
      <w:tr w:rsidR="001F5FA8" w:rsidRPr="00D6441B" w:rsidTr="008D1314">
        <w:trPr>
          <w:trHeight w:val="113"/>
        </w:trPr>
        <w:tc>
          <w:tcPr>
            <w:tcW w:w="1834" w:type="dxa"/>
            <w:noWrap/>
          </w:tcPr>
          <w:p w:rsidR="001F5FA8" w:rsidRPr="00D6441B" w:rsidRDefault="001F5FA8" w:rsidP="008D1314">
            <w:pPr>
              <w:spacing w:after="0" w:line="240" w:lineRule="auto"/>
              <w:jc w:val="both"/>
              <w:rPr>
                <w:rFonts w:ascii="Times New Roman" w:hAnsi="Times New Roman"/>
                <w:bCs/>
                <w:color w:val="000000"/>
                <w:sz w:val="24"/>
                <w:szCs w:val="24"/>
              </w:rPr>
            </w:pPr>
            <w:r w:rsidRPr="00D6441B">
              <w:rPr>
                <w:rFonts w:ascii="Times New Roman" w:hAnsi="Times New Roman"/>
                <w:bCs/>
                <w:color w:val="000000"/>
                <w:sz w:val="24"/>
                <w:szCs w:val="24"/>
              </w:rPr>
              <w:t>Ni  (%)</w:t>
            </w:r>
          </w:p>
        </w:tc>
        <w:tc>
          <w:tcPr>
            <w:tcW w:w="1835" w:type="dxa"/>
            <w:noWrap/>
          </w:tcPr>
          <w:p w:rsidR="001F5FA8" w:rsidRPr="00D6441B" w:rsidRDefault="001F5FA8" w:rsidP="008D1314">
            <w:pPr>
              <w:spacing w:after="0" w:line="240" w:lineRule="auto"/>
              <w:jc w:val="both"/>
              <w:rPr>
                <w:rFonts w:ascii="Times New Roman" w:hAnsi="Times New Roman"/>
                <w:color w:val="000000"/>
                <w:sz w:val="24"/>
                <w:szCs w:val="24"/>
              </w:rPr>
            </w:pPr>
            <w:r w:rsidRPr="00D6441B">
              <w:rPr>
                <w:rFonts w:ascii="Times New Roman" w:hAnsi="Times New Roman"/>
                <w:color w:val="000000"/>
                <w:sz w:val="24"/>
                <w:szCs w:val="24"/>
              </w:rPr>
              <w:t>0,055</w:t>
            </w:r>
          </w:p>
        </w:tc>
        <w:tc>
          <w:tcPr>
            <w:tcW w:w="1834" w:type="dxa"/>
          </w:tcPr>
          <w:p w:rsidR="001F5FA8" w:rsidRPr="00D6441B" w:rsidRDefault="001F5FA8" w:rsidP="008D1314">
            <w:pPr>
              <w:spacing w:after="0" w:line="240" w:lineRule="auto"/>
              <w:jc w:val="both"/>
              <w:rPr>
                <w:rFonts w:ascii="Times New Roman" w:hAnsi="Times New Roman"/>
                <w:color w:val="000000"/>
                <w:sz w:val="24"/>
                <w:szCs w:val="24"/>
              </w:rPr>
            </w:pPr>
          </w:p>
        </w:tc>
        <w:tc>
          <w:tcPr>
            <w:tcW w:w="1835" w:type="dxa"/>
          </w:tcPr>
          <w:p w:rsidR="001F5FA8" w:rsidRPr="00D6441B" w:rsidRDefault="001F5FA8" w:rsidP="008D1314">
            <w:pPr>
              <w:spacing w:after="0" w:line="240" w:lineRule="auto"/>
              <w:jc w:val="both"/>
              <w:rPr>
                <w:rFonts w:ascii="Times New Roman" w:hAnsi="Times New Roman"/>
                <w:color w:val="000000"/>
                <w:sz w:val="24"/>
                <w:szCs w:val="24"/>
              </w:rPr>
            </w:pPr>
          </w:p>
        </w:tc>
      </w:tr>
    </w:tbl>
    <w:p w:rsidR="001F5FA8" w:rsidRPr="00D6441B" w:rsidRDefault="001F5FA8" w:rsidP="001F5FA8">
      <w:pPr>
        <w:tabs>
          <w:tab w:val="left" w:pos="1134"/>
        </w:tabs>
        <w:autoSpaceDE w:val="0"/>
        <w:autoSpaceDN w:val="0"/>
        <w:adjustRightInd w:val="0"/>
        <w:spacing w:before="120" w:after="120" w:line="240" w:lineRule="auto"/>
        <w:jc w:val="both"/>
        <w:rPr>
          <w:rFonts w:ascii="Times New Roman" w:hAnsi="Times New Roman"/>
          <w:bCs/>
          <w:color w:val="000000"/>
          <w:sz w:val="24"/>
          <w:szCs w:val="24"/>
        </w:rPr>
      </w:pPr>
    </w:p>
    <w:p w:rsidR="001F5FA8" w:rsidRPr="00D6441B" w:rsidRDefault="001F5FA8" w:rsidP="001F5FA8">
      <w:pPr>
        <w:tabs>
          <w:tab w:val="left" w:pos="1134"/>
        </w:tabs>
        <w:autoSpaceDE w:val="0"/>
        <w:autoSpaceDN w:val="0"/>
        <w:adjustRightInd w:val="0"/>
        <w:spacing w:before="120" w:after="120" w:line="240" w:lineRule="auto"/>
        <w:jc w:val="both"/>
        <w:rPr>
          <w:rFonts w:ascii="Times New Roman" w:hAnsi="Times New Roman"/>
          <w:bCs/>
          <w:color w:val="000000"/>
          <w:sz w:val="24"/>
          <w:szCs w:val="24"/>
        </w:rPr>
      </w:pPr>
    </w:p>
    <w:p w:rsidR="001F5FA8" w:rsidRPr="00D6441B" w:rsidRDefault="001F5FA8" w:rsidP="001F5FA8">
      <w:pPr>
        <w:tabs>
          <w:tab w:val="left" w:pos="1134"/>
        </w:tabs>
        <w:autoSpaceDE w:val="0"/>
        <w:autoSpaceDN w:val="0"/>
        <w:adjustRightInd w:val="0"/>
        <w:spacing w:before="120" w:after="120" w:line="240" w:lineRule="auto"/>
        <w:jc w:val="both"/>
        <w:rPr>
          <w:rFonts w:ascii="Times New Roman" w:hAnsi="Times New Roman"/>
          <w:bCs/>
          <w:color w:val="000000"/>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b/>
          <w:bCs/>
          <w:color w:val="000000"/>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b/>
          <w:bCs/>
          <w:color w:val="000000"/>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b/>
          <w:bCs/>
          <w:color w:val="000000"/>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bCs/>
          <w:color w:val="000000"/>
          <w:sz w:val="24"/>
          <w:szCs w:val="24"/>
        </w:rPr>
      </w:pPr>
      <w:r w:rsidRPr="00D6441B">
        <w:rPr>
          <w:rFonts w:ascii="Times New Roman" w:hAnsi="Times New Roman"/>
          <w:bCs/>
          <w:i/>
          <w:color w:val="000000"/>
          <w:sz w:val="24"/>
          <w:szCs w:val="24"/>
        </w:rPr>
        <w:t xml:space="preserve">  </w:t>
      </w:r>
      <w:r w:rsidRPr="00D6441B">
        <w:rPr>
          <w:rFonts w:ascii="Times New Roman" w:hAnsi="Times New Roman"/>
          <w:b/>
          <w:bCs/>
          <w:color w:val="000000"/>
          <w:sz w:val="24"/>
          <w:szCs w:val="24"/>
        </w:rPr>
        <w:t>Tablo 2.</w:t>
      </w:r>
      <w:r w:rsidRPr="00D6441B">
        <w:rPr>
          <w:rFonts w:ascii="Times New Roman" w:hAnsi="Times New Roman"/>
          <w:bCs/>
          <w:color w:val="000000"/>
          <w:sz w:val="24"/>
          <w:szCs w:val="24"/>
        </w:rPr>
        <w:t xml:space="preserve"> Atık numunesinin eluat test sonuçları (İZÇEV Çevre Lab.)</w:t>
      </w:r>
    </w:p>
    <w:tbl>
      <w:tblPr>
        <w:tblpPr w:leftFromText="141" w:rightFromText="141" w:vertAnchor="text" w:tblpX="177" w:tblpY="1"/>
        <w:tblOverlap w:val="never"/>
        <w:tblW w:w="7330" w:type="dxa"/>
        <w:tblLayout w:type="fixed"/>
        <w:tblCellMar>
          <w:left w:w="0" w:type="dxa"/>
          <w:right w:w="0" w:type="dxa"/>
        </w:tblCellMar>
        <w:tblLook w:val="00A0" w:firstRow="1" w:lastRow="0" w:firstColumn="1" w:lastColumn="0" w:noHBand="0" w:noVBand="0"/>
      </w:tblPr>
      <w:tblGrid>
        <w:gridCol w:w="1832"/>
        <w:gridCol w:w="1833"/>
        <w:gridCol w:w="1832"/>
        <w:gridCol w:w="1833"/>
      </w:tblGrid>
      <w:tr w:rsidR="001F5FA8" w:rsidRPr="00D6441B" w:rsidTr="008D1314">
        <w:trPr>
          <w:trHeight w:val="284"/>
        </w:trPr>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b/>
                <w:bCs/>
                <w:color w:val="000000"/>
                <w:kern w:val="24"/>
                <w:sz w:val="24"/>
                <w:szCs w:val="24"/>
              </w:rPr>
            </w:pPr>
            <w:bookmarkStart w:id="38" w:name="_Hlk263965010"/>
            <w:r w:rsidRPr="00D6441B">
              <w:rPr>
                <w:rFonts w:ascii="Times New Roman" w:hAnsi="Times New Roman"/>
                <w:b/>
                <w:bCs/>
                <w:color w:val="000000"/>
                <w:kern w:val="24"/>
                <w:sz w:val="24"/>
                <w:szCs w:val="24"/>
              </w:rPr>
              <w:t>Element</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color w:val="000000"/>
                <w:kern w:val="24"/>
                <w:sz w:val="24"/>
                <w:szCs w:val="24"/>
              </w:rPr>
            </w:pPr>
          </w:p>
        </w:tc>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b/>
                <w:bCs/>
                <w:color w:val="000000"/>
                <w:kern w:val="24"/>
                <w:sz w:val="24"/>
                <w:szCs w:val="24"/>
              </w:rPr>
            </w:pPr>
            <w:r w:rsidRPr="00D6441B">
              <w:rPr>
                <w:rFonts w:ascii="Times New Roman" w:hAnsi="Times New Roman"/>
                <w:b/>
                <w:bCs/>
                <w:color w:val="000000"/>
                <w:kern w:val="24"/>
                <w:sz w:val="24"/>
                <w:szCs w:val="24"/>
              </w:rPr>
              <w:t>Element</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color w:val="000000"/>
                <w:kern w:val="24"/>
                <w:sz w:val="24"/>
                <w:szCs w:val="24"/>
              </w:rPr>
            </w:pPr>
          </w:p>
        </w:tc>
      </w:tr>
      <w:tr w:rsidR="001F5FA8" w:rsidRPr="00D6441B" w:rsidTr="008D1314">
        <w:trPr>
          <w:trHeight w:val="284"/>
        </w:trPr>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Arsenik</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0,013 mg/L</w:t>
            </w:r>
          </w:p>
        </w:tc>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Nikel</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0,003 mg/L</w:t>
            </w:r>
          </w:p>
        </w:tc>
      </w:tr>
      <w:tr w:rsidR="001F5FA8" w:rsidRPr="00D6441B" w:rsidTr="008D1314">
        <w:trPr>
          <w:trHeight w:val="284"/>
        </w:trPr>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Baryum</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0,089 mg/L</w:t>
            </w:r>
          </w:p>
        </w:tc>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Antimuan</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w:t>
            </w:r>
          </w:p>
        </w:tc>
      </w:tr>
      <w:tr w:rsidR="001F5FA8" w:rsidRPr="00D6441B" w:rsidTr="008D1314">
        <w:trPr>
          <w:trHeight w:val="284"/>
        </w:trPr>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Kadmiyum</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w:t>
            </w:r>
          </w:p>
        </w:tc>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Selenyum</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0,003 mg/L</w:t>
            </w:r>
          </w:p>
        </w:tc>
      </w:tr>
      <w:tr w:rsidR="001F5FA8" w:rsidRPr="00D6441B" w:rsidTr="008D1314">
        <w:trPr>
          <w:trHeight w:val="284"/>
        </w:trPr>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Krom</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0,012 mg/L</w:t>
            </w:r>
          </w:p>
        </w:tc>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Çinko</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0,072 mg/L</w:t>
            </w:r>
          </w:p>
        </w:tc>
      </w:tr>
      <w:tr w:rsidR="001F5FA8" w:rsidRPr="00D6441B" w:rsidTr="008D1314">
        <w:trPr>
          <w:trHeight w:val="284"/>
        </w:trPr>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Bakır</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0,007 mg/L</w:t>
            </w:r>
          </w:p>
        </w:tc>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Civa</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0,012 mg/L</w:t>
            </w:r>
          </w:p>
        </w:tc>
      </w:tr>
      <w:tr w:rsidR="001F5FA8" w:rsidRPr="00D6441B" w:rsidTr="008D1314">
        <w:trPr>
          <w:trHeight w:val="284"/>
        </w:trPr>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Demir</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0,265 mg/L</w:t>
            </w:r>
          </w:p>
        </w:tc>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Siyanür</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1,510 mg/L</w:t>
            </w:r>
          </w:p>
        </w:tc>
      </w:tr>
      <w:tr w:rsidR="001F5FA8" w:rsidRPr="00D6441B" w:rsidTr="008D1314">
        <w:trPr>
          <w:trHeight w:val="284"/>
        </w:trPr>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bCs/>
                <w:color w:val="000000"/>
                <w:kern w:val="24"/>
                <w:sz w:val="24"/>
                <w:szCs w:val="24"/>
              </w:rPr>
              <w:t>Molibden</w:t>
            </w: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textAlignment w:val="baseline"/>
              <w:rPr>
                <w:rFonts w:ascii="Times New Roman" w:hAnsi="Times New Roman"/>
                <w:sz w:val="24"/>
                <w:szCs w:val="24"/>
              </w:rPr>
            </w:pPr>
            <w:r w:rsidRPr="00D6441B">
              <w:rPr>
                <w:rFonts w:ascii="Times New Roman" w:hAnsi="Times New Roman"/>
                <w:color w:val="000000"/>
                <w:kern w:val="24"/>
                <w:sz w:val="24"/>
                <w:szCs w:val="24"/>
              </w:rPr>
              <w:t>0,009 mg/L</w:t>
            </w:r>
          </w:p>
        </w:tc>
        <w:tc>
          <w:tcPr>
            <w:tcW w:w="1832"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rPr>
                <w:rFonts w:ascii="Times New Roman" w:hAnsi="Times New Roman"/>
                <w:sz w:val="24"/>
                <w:szCs w:val="24"/>
              </w:rPr>
            </w:pPr>
          </w:p>
        </w:tc>
        <w:tc>
          <w:tcPr>
            <w:tcW w:w="1833" w:type="dxa"/>
            <w:tcBorders>
              <w:top w:val="single" w:sz="8" w:space="0" w:color="000000"/>
              <w:left w:val="single" w:sz="8" w:space="0" w:color="000000"/>
              <w:bottom w:val="single" w:sz="8" w:space="0" w:color="000000"/>
              <w:right w:val="single" w:sz="8" w:space="0" w:color="000000"/>
            </w:tcBorders>
            <w:tcMar>
              <w:top w:w="15" w:type="dxa"/>
              <w:left w:w="121" w:type="dxa"/>
              <w:bottom w:w="0" w:type="dxa"/>
              <w:right w:w="121" w:type="dxa"/>
            </w:tcMar>
            <w:vAlign w:val="center"/>
          </w:tcPr>
          <w:p w:rsidR="001F5FA8" w:rsidRPr="00D6441B" w:rsidRDefault="001F5FA8" w:rsidP="008D1314">
            <w:pPr>
              <w:spacing w:after="0" w:line="240" w:lineRule="auto"/>
              <w:jc w:val="both"/>
              <w:rPr>
                <w:rFonts w:ascii="Times New Roman" w:hAnsi="Times New Roman"/>
                <w:sz w:val="24"/>
                <w:szCs w:val="24"/>
              </w:rPr>
            </w:pPr>
          </w:p>
        </w:tc>
      </w:tr>
    </w:tbl>
    <w:bookmarkEnd w:id="38"/>
    <w:p w:rsidR="006959C4" w:rsidRDefault="001F5FA8" w:rsidP="001F5FA8">
      <w:pPr>
        <w:autoSpaceDE w:val="0"/>
        <w:autoSpaceDN w:val="0"/>
        <w:adjustRightInd w:val="0"/>
        <w:spacing w:before="120" w:after="120" w:line="240" w:lineRule="auto"/>
        <w:jc w:val="both"/>
        <w:rPr>
          <w:rFonts w:ascii="Times New Roman" w:hAnsi="Times New Roman"/>
          <w:b/>
          <w:sz w:val="24"/>
          <w:szCs w:val="24"/>
        </w:rPr>
        <w:sectPr w:rsidR="006959C4" w:rsidSect="006959C4">
          <w:type w:val="continuous"/>
          <w:pgSz w:w="11906" w:h="16838"/>
          <w:pgMar w:top="1417" w:right="849" w:bottom="1417" w:left="1134" w:header="708" w:footer="708" w:gutter="0"/>
          <w:cols w:space="708"/>
          <w:docGrid w:linePitch="360"/>
        </w:sectPr>
      </w:pPr>
      <w:r w:rsidRPr="00D6441B">
        <w:rPr>
          <w:rFonts w:ascii="Times New Roman" w:hAnsi="Times New Roman"/>
          <w:sz w:val="24"/>
          <w:szCs w:val="24"/>
        </w:rPr>
        <w:br w:type="textWrapping" w:clear="all"/>
      </w:r>
    </w:p>
    <w:p w:rsidR="006959C4" w:rsidRDefault="006959C4" w:rsidP="001F5FA8">
      <w:pPr>
        <w:autoSpaceDE w:val="0"/>
        <w:autoSpaceDN w:val="0"/>
        <w:adjustRightInd w:val="0"/>
        <w:spacing w:before="120" w:after="120" w:line="240" w:lineRule="auto"/>
        <w:jc w:val="both"/>
        <w:rPr>
          <w:rFonts w:ascii="Times New Roman" w:hAnsi="Times New Roman"/>
          <w:b/>
          <w:sz w:val="24"/>
          <w:szCs w:val="24"/>
        </w:rPr>
      </w:pPr>
    </w:p>
    <w:p w:rsidR="006959C4" w:rsidRDefault="006959C4" w:rsidP="001F5FA8">
      <w:pPr>
        <w:autoSpaceDE w:val="0"/>
        <w:autoSpaceDN w:val="0"/>
        <w:adjustRightInd w:val="0"/>
        <w:spacing w:before="120" w:after="120" w:line="240" w:lineRule="auto"/>
        <w:jc w:val="both"/>
        <w:rPr>
          <w:rFonts w:ascii="Times New Roman" w:hAnsi="Times New Roman"/>
          <w:b/>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b/>
          <w:sz w:val="24"/>
          <w:szCs w:val="24"/>
        </w:rPr>
      </w:pPr>
      <w:r w:rsidRPr="00D6441B">
        <w:rPr>
          <w:rFonts w:ascii="Times New Roman" w:hAnsi="Times New Roman"/>
          <w:b/>
          <w:sz w:val="24"/>
          <w:szCs w:val="24"/>
        </w:rPr>
        <w:lastRenderedPageBreak/>
        <w:t>3. ALTIN KAZANIMI</w:t>
      </w:r>
    </w:p>
    <w:p w:rsidR="001F5FA8" w:rsidRPr="00D6441B" w:rsidRDefault="001F5FA8" w:rsidP="001F5FA8">
      <w:pPr>
        <w:tabs>
          <w:tab w:val="left" w:pos="3000"/>
        </w:tabs>
        <w:spacing w:before="120" w:after="120" w:line="240" w:lineRule="auto"/>
        <w:jc w:val="both"/>
        <w:rPr>
          <w:rFonts w:ascii="Times New Roman" w:hAnsi="Times New Roman"/>
          <w:sz w:val="24"/>
          <w:szCs w:val="24"/>
        </w:rPr>
      </w:pPr>
    </w:p>
    <w:p w:rsidR="001F5FA8" w:rsidRPr="00D6441B" w:rsidRDefault="001F5FA8" w:rsidP="001F5FA8">
      <w:pPr>
        <w:tabs>
          <w:tab w:val="left" w:pos="3000"/>
        </w:tabs>
        <w:spacing w:before="120" w:after="120" w:line="240" w:lineRule="auto"/>
        <w:jc w:val="both"/>
        <w:rPr>
          <w:rFonts w:ascii="Times New Roman" w:hAnsi="Times New Roman"/>
          <w:b/>
          <w:color w:val="FF0000"/>
          <w:sz w:val="24"/>
          <w:szCs w:val="24"/>
          <w:u w:val="single"/>
        </w:rPr>
      </w:pPr>
      <w:r w:rsidRPr="00D6441B">
        <w:rPr>
          <w:rFonts w:ascii="Times New Roman" w:hAnsi="Times New Roman"/>
          <w:sz w:val="24"/>
          <w:szCs w:val="24"/>
        </w:rPr>
        <w:t xml:space="preserve">Bu çalışmada, liç işleminden sonra tank dibinde oluşan çamurun  yüksek pH’da kimyasal oksidasyonunu takiben yıkama ve filtrasyon işlemiyle fazlara ayrılması sağlanmıştır. Siyanür, cevher içerisindeki altını ve ağır metalleri çözerek sıvı faza geçmelerine sebep olmaktadır. Elde edilen sıvı kısım içerdiği siyanür ve ağır metallerden dolayı arıtma </w:t>
      </w:r>
      <w:r w:rsidRPr="00D6441B">
        <w:rPr>
          <w:rFonts w:ascii="Times New Roman" w:hAnsi="Times New Roman"/>
          <w:sz w:val="24"/>
          <w:szCs w:val="24"/>
        </w:rPr>
        <w:lastRenderedPageBreak/>
        <w:t>işlemine tabi tutulmak üzere arıtma tesisine gönderilmektedir (Şekil 2).  Katı faz ise tam olarak kuru olmadığı içerisinde bir miktar sıvı kalması nedeniyle yapılan kimyasal analiz sonucunda içeriğinde 1,51 mg/L siyanür kaldığı tespit edilmiştir. Bu sebeple siyanürün bozundurulması için atık doğal kurutma yöntemiyle (güneşte) kurutulmuştur (Şekil 3).</w:t>
      </w:r>
    </w:p>
    <w:p w:rsidR="001F5FA8" w:rsidRPr="00D6441B" w:rsidRDefault="001F5FA8" w:rsidP="001F5FA8">
      <w:pPr>
        <w:tabs>
          <w:tab w:val="left" w:pos="3000"/>
        </w:tabs>
        <w:spacing w:before="120" w:after="120" w:line="240" w:lineRule="auto"/>
        <w:jc w:val="both"/>
        <w:rPr>
          <w:rFonts w:ascii="Times New Roman" w:hAnsi="Times New Roman"/>
          <w:sz w:val="24"/>
          <w:szCs w:val="24"/>
        </w:rPr>
      </w:pPr>
    </w:p>
    <w:p w:rsidR="006959C4" w:rsidRDefault="006959C4" w:rsidP="001F5FA8">
      <w:pPr>
        <w:tabs>
          <w:tab w:val="left" w:pos="3000"/>
        </w:tabs>
        <w:spacing w:before="120" w:after="120" w:line="240" w:lineRule="auto"/>
        <w:jc w:val="both"/>
        <w:rPr>
          <w:rFonts w:ascii="Times New Roman" w:hAnsi="Times New Roman"/>
          <w:sz w:val="24"/>
          <w:szCs w:val="24"/>
        </w:rPr>
        <w:sectPr w:rsidR="006959C4" w:rsidSect="00E230BE">
          <w:type w:val="continuous"/>
          <w:pgSz w:w="11906" w:h="16838"/>
          <w:pgMar w:top="1417" w:right="849" w:bottom="1417" w:left="1134" w:header="708" w:footer="340" w:gutter="0"/>
          <w:cols w:num="2" w:space="708"/>
          <w:docGrid w:linePitch="360"/>
        </w:sectPr>
      </w:pPr>
    </w:p>
    <w:p w:rsidR="001F5FA8" w:rsidRPr="00D6441B" w:rsidRDefault="006959C4" w:rsidP="001F5FA8">
      <w:pPr>
        <w:tabs>
          <w:tab w:val="left" w:pos="3000"/>
        </w:tabs>
        <w:spacing w:before="120" w:after="120" w:line="240" w:lineRule="auto"/>
        <w:jc w:val="both"/>
        <w:rPr>
          <w:rFonts w:ascii="Times New Roman" w:hAnsi="Times New Roman"/>
          <w:sz w:val="24"/>
          <w:szCs w:val="24"/>
        </w:rPr>
      </w:pPr>
      <w:r>
        <w:rPr>
          <w:rFonts w:ascii="Times New Roman" w:hAnsi="Times New Roman"/>
          <w:noProof/>
          <w:sz w:val="24"/>
          <w:szCs w:val="24"/>
          <w:lang w:val="en-AU" w:eastAsia="en-AU"/>
        </w:rPr>
        <w:lastRenderedPageBreak/>
        <w:drawing>
          <wp:anchor distT="6096" distB="370586" distL="242316" distR="409321" simplePos="0" relativeHeight="251672576" behindDoc="1" locked="0" layoutInCell="1" allowOverlap="1">
            <wp:simplePos x="0" y="0"/>
            <wp:positionH relativeFrom="column">
              <wp:posOffset>451485</wp:posOffset>
            </wp:positionH>
            <wp:positionV relativeFrom="paragraph">
              <wp:posOffset>195580</wp:posOffset>
            </wp:positionV>
            <wp:extent cx="5791200" cy="4886325"/>
            <wp:effectExtent l="0" t="0" r="0" b="0"/>
            <wp:wrapTight wrapText="bothSides">
              <wp:wrapPolygon edited="0">
                <wp:start x="7745" y="0"/>
                <wp:lineTo x="7745" y="1011"/>
                <wp:lineTo x="8313" y="1347"/>
                <wp:lineTo x="10018" y="1347"/>
                <wp:lineTo x="8029" y="2189"/>
                <wp:lineTo x="7745" y="2442"/>
                <wp:lineTo x="7745" y="3453"/>
                <wp:lineTo x="8739" y="4042"/>
                <wp:lineTo x="10018" y="4042"/>
                <wp:lineTo x="8029" y="4379"/>
                <wp:lineTo x="7745" y="4547"/>
                <wp:lineTo x="7745" y="10189"/>
                <wp:lineTo x="8811" y="10779"/>
                <wp:lineTo x="10089" y="10779"/>
                <wp:lineTo x="3979" y="11874"/>
                <wp:lineTo x="1421" y="13474"/>
                <wp:lineTo x="1421" y="14737"/>
                <wp:lineTo x="2132" y="14821"/>
                <wp:lineTo x="9521" y="14821"/>
                <wp:lineTo x="2487" y="15158"/>
                <wp:lineTo x="2487" y="16168"/>
                <wp:lineTo x="497" y="16758"/>
                <wp:lineTo x="355" y="18105"/>
                <wp:lineTo x="4405" y="18863"/>
                <wp:lineTo x="7247" y="18863"/>
                <wp:lineTo x="7176" y="20211"/>
                <wp:lineTo x="11653" y="20211"/>
                <wp:lineTo x="16058" y="20211"/>
                <wp:lineTo x="17692" y="19874"/>
                <wp:lineTo x="17763" y="18611"/>
                <wp:lineTo x="17195" y="18358"/>
                <wp:lineTo x="13571" y="17516"/>
                <wp:lineTo x="13642" y="17179"/>
                <wp:lineTo x="11795" y="16505"/>
                <wp:lineTo x="9947" y="16168"/>
                <wp:lineTo x="9876" y="14905"/>
                <wp:lineTo x="10942" y="14821"/>
                <wp:lineTo x="20676" y="13642"/>
                <wp:lineTo x="20747" y="10779"/>
                <wp:lineTo x="12647" y="9432"/>
                <wp:lineTo x="12789" y="4632"/>
                <wp:lineTo x="12434" y="4463"/>
                <wp:lineTo x="10374" y="4042"/>
                <wp:lineTo x="11653" y="4042"/>
                <wp:lineTo x="12718" y="3368"/>
                <wp:lineTo x="12789" y="2442"/>
                <wp:lineTo x="10374" y="1347"/>
                <wp:lineTo x="12150" y="1347"/>
                <wp:lineTo x="12789" y="926"/>
                <wp:lineTo x="12718" y="0"/>
                <wp:lineTo x="7745" y="0"/>
              </wp:wrapPolygon>
            </wp:wrapTight>
            <wp:docPr id="229" name="Nesne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411662"/>
                      <a:chOff x="457200" y="1719263"/>
                      <a:chExt cx="8229600" cy="4411662"/>
                    </a:xfrm>
                  </a:grpSpPr>
                  <a:grpSp>
                    <a:nvGrpSpPr>
                      <a:cNvPr id="8195" name="Group 1"/>
                      <a:cNvGrpSpPr>
                        <a:grpSpLocks noGrp="1" noChangeAspect="1"/>
                      </a:cNvGrpSpPr>
                    </a:nvGrpSpPr>
                    <a:grpSpPr bwMode="auto">
                      <a:xfrm>
                        <a:off x="457200" y="1719263"/>
                        <a:ext cx="8229600" cy="4411662"/>
                        <a:chOff x="2904" y="2269"/>
                        <a:chExt cx="6703" cy="6344"/>
                      </a:xfrm>
                    </a:grpSpPr>
                    <a:sp>
                      <a:nvSpPr>
                        <a:cNvPr id="8198" name="AutoShape 28"/>
                        <a:cNvSpPr>
                          <a:spLocks noChangeAspect="1" noChangeArrowheads="1" noTextEdit="1"/>
                        </a:cNvSpPr>
                      </a:nvSpPr>
                      <a:spPr bwMode="auto">
                        <a:xfrm>
                          <a:off x="2904" y="2269"/>
                          <a:ext cx="6703" cy="6344"/>
                        </a:xfrm>
                        <a:prstGeom prst="rect">
                          <a:avLst/>
                        </a:prstGeom>
                        <a:noFill/>
                        <a:ln w="9525">
                          <a:noFill/>
                          <a:miter lim="800000"/>
                          <a:headEnd/>
                          <a:tailEnd/>
                        </a:ln>
                      </a:spPr>
                      <a:txSp>
                        <a:txBody>
                          <a:bodyPr/>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tr-TR"/>
                          </a:p>
                        </a:txBody>
                        <a:useSpRect/>
                      </a:txSp>
                    </a:sp>
                    <a:sp>
                      <a:nvSpPr>
                        <a:cNvPr id="8199" name="Text Box 27"/>
                        <a:cNvSpPr txBox="1">
                          <a:spLocks noChangeArrowheads="1"/>
                        </a:cNvSpPr>
                      </a:nvSpPr>
                      <a:spPr bwMode="auto">
                        <a:xfrm>
                          <a:off x="5365" y="2269"/>
                          <a:ext cx="1432" cy="293"/>
                        </a:xfrm>
                        <a:prstGeom prst="rect">
                          <a:avLst/>
                        </a:prstGeom>
                        <a:solidFill>
                          <a:srgbClr val="FFFFFF"/>
                        </a:solidFill>
                        <a:ln w="9525">
                          <a:solidFill>
                            <a:schemeClr val="tx1"/>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u="sng">
                                <a:latin typeface="Times New Roman" pitchFamily="18" charset="0"/>
                                <a:cs typeface="Times New Roman" pitchFamily="18" charset="0"/>
                              </a:rPr>
                              <a:t>Cevher</a:t>
                            </a:r>
                            <a:endParaRPr lang="tr-TR" sz="1200"/>
                          </a:p>
                          <a:p>
                            <a:pPr eaLnBrk="0" hangingPunct="0"/>
                            <a:endParaRPr lang="tr-TR"/>
                          </a:p>
                        </a:txBody>
                        <a:useSpRect/>
                      </a:txSp>
                    </a:sp>
                    <a:sp>
                      <a:nvSpPr>
                        <a:cNvPr id="8200" name="Text Box 26"/>
                        <a:cNvSpPr txBox="1">
                          <a:spLocks noChangeArrowheads="1"/>
                        </a:cNvSpPr>
                      </a:nvSpPr>
                      <a:spPr bwMode="auto">
                        <a:xfrm>
                          <a:off x="5348" y="2961"/>
                          <a:ext cx="1431" cy="310"/>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a:latin typeface="Times New Roman" pitchFamily="18" charset="0"/>
                                <a:cs typeface="Times New Roman" pitchFamily="18" charset="0"/>
                              </a:rPr>
                              <a:t>Kırma Eleme</a:t>
                            </a:r>
                            <a:endParaRPr lang="tr-TR" sz="1200"/>
                          </a:p>
                        </a:txBody>
                        <a:useSpRect/>
                      </a:txSp>
                    </a:sp>
                    <a:sp>
                      <a:nvSpPr>
                        <a:cNvPr id="8201" name="Text Box 25"/>
                        <a:cNvSpPr txBox="1">
                          <a:spLocks noChangeArrowheads="1"/>
                        </a:cNvSpPr>
                      </a:nvSpPr>
                      <a:spPr bwMode="auto">
                        <a:xfrm>
                          <a:off x="5349" y="3605"/>
                          <a:ext cx="1432" cy="397"/>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a:latin typeface="Calibri" pitchFamily="34" charset="0"/>
                                <a:cs typeface="Times New Roman" pitchFamily="18" charset="0"/>
                              </a:rPr>
                              <a:t>Öğütme</a:t>
                            </a:r>
                            <a:endParaRPr lang="tr-TR" sz="1200"/>
                          </a:p>
                        </a:txBody>
                        <a:useSpRect/>
                      </a:txSp>
                    </a:sp>
                    <a:sp>
                      <a:nvSpPr>
                        <a:cNvPr id="8202" name="Text Box 24"/>
                        <a:cNvSpPr txBox="1">
                          <a:spLocks noChangeArrowheads="1"/>
                        </a:cNvSpPr>
                      </a:nvSpPr>
                      <a:spPr bwMode="auto">
                        <a:xfrm>
                          <a:off x="5347" y="5585"/>
                          <a:ext cx="1432" cy="334"/>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a:latin typeface="Calibri" pitchFamily="34" charset="0"/>
                                <a:cs typeface="Times New Roman" pitchFamily="18" charset="0"/>
                              </a:rPr>
                              <a:t>Tank Liçi</a:t>
                            </a:r>
                            <a:endParaRPr lang="tr-TR" sz="1200"/>
                          </a:p>
                        </a:txBody>
                        <a:useSpRect/>
                      </a:txSp>
                    </a:sp>
                    <a:sp>
                      <a:nvSpPr>
                        <a:cNvPr id="8203" name="Text Box 23"/>
                        <a:cNvSpPr txBox="1">
                          <a:spLocks noChangeArrowheads="1"/>
                        </a:cNvSpPr>
                      </a:nvSpPr>
                      <a:spPr bwMode="auto">
                        <a:xfrm>
                          <a:off x="5045" y="7168"/>
                          <a:ext cx="1532" cy="397"/>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a:latin typeface="Calibri" pitchFamily="34" charset="0"/>
                                <a:cs typeface="Times New Roman" pitchFamily="18" charset="0"/>
                              </a:rPr>
                              <a:t>Zn ile çöktürme</a:t>
                            </a:r>
                            <a:endParaRPr lang="tr-TR" sz="1200"/>
                          </a:p>
                        </a:txBody>
                        <a:useSpRect/>
                      </a:txSp>
                    </a:sp>
                    <a:sp>
                      <a:nvSpPr>
                        <a:cNvPr id="8204" name="Text Box 22"/>
                        <a:cNvSpPr txBox="1">
                          <a:spLocks noChangeArrowheads="1"/>
                        </a:cNvSpPr>
                      </a:nvSpPr>
                      <a:spPr bwMode="auto">
                        <a:xfrm>
                          <a:off x="3053" y="7231"/>
                          <a:ext cx="1336" cy="334"/>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a:latin typeface="Calibri" pitchFamily="34" charset="0"/>
                                <a:cs typeface="Times New Roman" pitchFamily="18" charset="0"/>
                              </a:rPr>
                              <a:t>Katı Atık</a:t>
                            </a:r>
                            <a:endParaRPr lang="tr-TR" sz="1200"/>
                          </a:p>
                        </a:txBody>
                        <a:useSpRect/>
                      </a:txSp>
                    </a:sp>
                    <a:cxnSp>
                      <a:nvCxnSpPr>
                        <a:cNvPr id="8205" name="AutoShape 21"/>
                        <a:cNvCxnSpPr>
                          <a:cxnSpLocks noChangeShapeType="1"/>
                        </a:cNvCxnSpPr>
                      </a:nvCxnSpPr>
                      <a:spPr bwMode="auto">
                        <a:xfrm>
                          <a:off x="3720" y="6754"/>
                          <a:ext cx="1" cy="478"/>
                        </a:xfrm>
                        <a:prstGeom prst="straightConnector1">
                          <a:avLst/>
                        </a:prstGeom>
                        <a:noFill/>
                        <a:ln w="9525">
                          <a:solidFill>
                            <a:srgbClr val="000000"/>
                          </a:solidFill>
                          <a:round/>
                          <a:headEnd/>
                          <a:tailEnd type="triangle" w="med" len="med"/>
                        </a:ln>
                      </a:spPr>
                    </a:cxnSp>
                    <a:cxnSp>
                      <a:nvCxnSpPr>
                        <a:cNvPr id="8206" name="AutoShape 20"/>
                        <a:cNvCxnSpPr>
                          <a:cxnSpLocks noChangeShapeType="1"/>
                        </a:cNvCxnSpPr>
                      </a:nvCxnSpPr>
                      <a:spPr bwMode="auto">
                        <a:xfrm>
                          <a:off x="5045" y="6473"/>
                          <a:ext cx="872" cy="1"/>
                        </a:xfrm>
                        <a:prstGeom prst="straightConnector1">
                          <a:avLst/>
                        </a:prstGeom>
                        <a:noFill/>
                        <a:ln w="9525">
                          <a:solidFill>
                            <a:srgbClr val="000000"/>
                          </a:solidFill>
                          <a:round/>
                          <a:headEnd/>
                          <a:tailEnd type="triangle" w="med" len="med"/>
                        </a:ln>
                      </a:spPr>
                    </a:cxnSp>
                    <a:cxnSp>
                      <a:nvCxnSpPr>
                        <a:cNvPr id="8207" name="AutoShape 19"/>
                        <a:cNvCxnSpPr>
                          <a:cxnSpLocks noChangeShapeType="1"/>
                        </a:cNvCxnSpPr>
                      </a:nvCxnSpPr>
                      <a:spPr bwMode="auto">
                        <a:xfrm>
                          <a:off x="6069" y="2627"/>
                          <a:ext cx="2" cy="334"/>
                        </a:xfrm>
                        <a:prstGeom prst="straightConnector1">
                          <a:avLst/>
                        </a:prstGeom>
                        <a:noFill/>
                        <a:ln w="9525">
                          <a:solidFill>
                            <a:srgbClr val="000000"/>
                          </a:solidFill>
                          <a:round/>
                          <a:headEnd/>
                          <a:tailEnd type="triangle" w="med" len="med"/>
                        </a:ln>
                      </a:spPr>
                    </a:cxnSp>
                    <a:sp>
                      <a:nvSpPr>
                        <a:cNvPr id="8208" name="Text Box 18"/>
                        <a:cNvSpPr txBox="1">
                          <a:spLocks noChangeArrowheads="1"/>
                        </a:cNvSpPr>
                      </a:nvSpPr>
                      <a:spPr bwMode="auto">
                        <a:xfrm>
                          <a:off x="3386" y="6247"/>
                          <a:ext cx="1659" cy="339"/>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a:latin typeface="Calibri" pitchFamily="34" charset="0"/>
                                <a:cs typeface="Times New Roman" pitchFamily="18" charset="0"/>
                              </a:rPr>
                              <a:t>Katı- Sıvı Ayırma</a:t>
                            </a:r>
                            <a:endParaRPr lang="tr-TR" sz="1200"/>
                          </a:p>
                        </a:txBody>
                        <a:useSpRect/>
                      </a:txSp>
                    </a:sp>
                    <a:sp>
                      <a:nvSpPr>
                        <a:cNvPr id="8209" name="Text Box 17"/>
                        <a:cNvSpPr txBox="1">
                          <a:spLocks noChangeArrowheads="1"/>
                        </a:cNvSpPr>
                      </a:nvSpPr>
                      <a:spPr bwMode="auto">
                        <a:xfrm>
                          <a:off x="5350" y="4272"/>
                          <a:ext cx="1431" cy="378"/>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a:latin typeface="Calibri" pitchFamily="34" charset="0"/>
                                <a:cs typeface="Times New Roman" pitchFamily="18" charset="0"/>
                              </a:rPr>
                              <a:t>Harmanlama</a:t>
                            </a:r>
                            <a:endParaRPr lang="tr-TR" sz="1200"/>
                          </a:p>
                        </a:txBody>
                        <a:useSpRect/>
                      </a:txSp>
                    </a:sp>
                    <a:cxnSp>
                      <a:nvCxnSpPr>
                        <a:cNvPr id="8210" name="AutoShape 16"/>
                        <a:cNvCxnSpPr>
                          <a:cxnSpLocks noChangeShapeType="1"/>
                        </a:cNvCxnSpPr>
                      </a:nvCxnSpPr>
                      <a:spPr bwMode="auto">
                        <a:xfrm>
                          <a:off x="6076" y="5251"/>
                          <a:ext cx="1" cy="334"/>
                        </a:xfrm>
                        <a:prstGeom prst="straightConnector1">
                          <a:avLst/>
                        </a:prstGeom>
                        <a:noFill/>
                        <a:ln w="9525">
                          <a:solidFill>
                            <a:srgbClr val="000000"/>
                          </a:solidFill>
                          <a:round/>
                          <a:headEnd/>
                          <a:tailEnd type="triangle" w="med" len="med"/>
                        </a:ln>
                      </a:spPr>
                    </a:cxnSp>
                    <a:sp>
                      <a:nvSpPr>
                        <a:cNvPr id="8211" name="Text Box 15"/>
                        <a:cNvSpPr txBox="1">
                          <a:spLocks noChangeArrowheads="1"/>
                        </a:cNvSpPr>
                      </a:nvSpPr>
                      <a:spPr bwMode="auto">
                        <a:xfrm>
                          <a:off x="5348" y="4917"/>
                          <a:ext cx="1431" cy="334"/>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200">
                                <a:latin typeface="Calibri" pitchFamily="34" charset="0"/>
                                <a:cs typeface="Times New Roman" pitchFamily="18" charset="0"/>
                              </a:rPr>
                              <a:t>Numune Bölme</a:t>
                            </a:r>
                            <a:endParaRPr lang="tr-TR" sz="1200"/>
                          </a:p>
                        </a:txBody>
                        <a:useSpRect/>
                      </a:txSp>
                    </a:sp>
                    <a:cxnSp>
                      <a:nvCxnSpPr>
                        <a:cNvPr id="8212" name="AutoShape 14"/>
                        <a:cNvCxnSpPr>
                          <a:cxnSpLocks noChangeShapeType="1"/>
                        </a:cNvCxnSpPr>
                      </a:nvCxnSpPr>
                      <a:spPr bwMode="auto">
                        <a:xfrm>
                          <a:off x="4194" y="5805"/>
                          <a:ext cx="1" cy="442"/>
                        </a:xfrm>
                        <a:prstGeom prst="straightConnector1">
                          <a:avLst/>
                        </a:prstGeom>
                        <a:noFill/>
                        <a:ln w="9525">
                          <a:solidFill>
                            <a:srgbClr val="000000"/>
                          </a:solidFill>
                          <a:round/>
                          <a:headEnd/>
                          <a:tailEnd type="triangle" w="med" len="med"/>
                        </a:ln>
                      </a:spPr>
                    </a:cxnSp>
                    <a:cxnSp>
                      <a:nvCxnSpPr>
                        <a:cNvPr id="8213" name="AutoShape 13"/>
                        <a:cNvCxnSpPr>
                          <a:cxnSpLocks noChangeShapeType="1"/>
                        </a:cNvCxnSpPr>
                      </a:nvCxnSpPr>
                      <a:spPr bwMode="auto">
                        <a:xfrm flipH="1">
                          <a:off x="4194" y="5805"/>
                          <a:ext cx="1154" cy="1"/>
                        </a:xfrm>
                        <a:prstGeom prst="straightConnector1">
                          <a:avLst/>
                        </a:prstGeom>
                        <a:noFill/>
                        <a:ln w="9525">
                          <a:solidFill>
                            <a:srgbClr val="000000"/>
                          </a:solidFill>
                          <a:round/>
                          <a:headEnd/>
                          <a:tailEnd type="triangle" w="med" len="med"/>
                        </a:ln>
                      </a:spPr>
                    </a:cxnSp>
                    <a:cxnSp>
                      <a:nvCxnSpPr>
                        <a:cNvPr id="8214" name="AutoShape 12"/>
                        <a:cNvCxnSpPr>
                          <a:cxnSpLocks noChangeShapeType="1"/>
                        </a:cNvCxnSpPr>
                      </a:nvCxnSpPr>
                      <a:spPr bwMode="auto">
                        <a:xfrm>
                          <a:off x="6071" y="3271"/>
                          <a:ext cx="1" cy="334"/>
                        </a:xfrm>
                        <a:prstGeom prst="straightConnector1">
                          <a:avLst/>
                        </a:prstGeom>
                        <a:noFill/>
                        <a:ln w="9525">
                          <a:solidFill>
                            <a:srgbClr val="000000"/>
                          </a:solidFill>
                          <a:round/>
                          <a:headEnd/>
                          <a:tailEnd type="triangle" w="med" len="med"/>
                        </a:ln>
                      </a:spPr>
                    </a:cxnSp>
                    <a:cxnSp>
                      <a:nvCxnSpPr>
                        <a:cNvPr id="8215" name="AutoShape 11"/>
                        <a:cNvCxnSpPr>
                          <a:cxnSpLocks noChangeShapeType="1"/>
                        </a:cNvCxnSpPr>
                      </a:nvCxnSpPr>
                      <a:spPr bwMode="auto">
                        <a:xfrm>
                          <a:off x="6072" y="3939"/>
                          <a:ext cx="2" cy="333"/>
                        </a:xfrm>
                        <a:prstGeom prst="straightConnector1">
                          <a:avLst/>
                        </a:prstGeom>
                        <a:noFill/>
                        <a:ln w="9525">
                          <a:solidFill>
                            <a:srgbClr val="000000"/>
                          </a:solidFill>
                          <a:round/>
                          <a:headEnd/>
                          <a:tailEnd type="triangle" w="med" len="med"/>
                        </a:ln>
                      </a:spPr>
                    </a:cxnSp>
                    <a:cxnSp>
                      <a:nvCxnSpPr>
                        <a:cNvPr id="8216" name="AutoShape 10"/>
                        <a:cNvCxnSpPr>
                          <a:cxnSpLocks noChangeShapeType="1"/>
                        </a:cNvCxnSpPr>
                      </a:nvCxnSpPr>
                      <a:spPr bwMode="auto">
                        <a:xfrm>
                          <a:off x="6074" y="4583"/>
                          <a:ext cx="2" cy="334"/>
                        </a:xfrm>
                        <a:prstGeom prst="straightConnector1">
                          <a:avLst/>
                        </a:prstGeom>
                        <a:noFill/>
                        <a:ln w="9525">
                          <a:solidFill>
                            <a:srgbClr val="000000"/>
                          </a:solidFill>
                          <a:round/>
                          <a:headEnd/>
                          <a:tailEnd type="triangle" w="med" len="med"/>
                        </a:ln>
                      </a:spPr>
                    </a:cxnSp>
                    <a:cxnSp>
                      <a:nvCxnSpPr>
                        <a:cNvPr id="8217" name="AutoShape 9"/>
                        <a:cNvCxnSpPr>
                          <a:cxnSpLocks noChangeShapeType="1"/>
                        </a:cNvCxnSpPr>
                      </a:nvCxnSpPr>
                      <a:spPr bwMode="auto">
                        <a:xfrm>
                          <a:off x="5917" y="6474"/>
                          <a:ext cx="5" cy="695"/>
                        </a:xfrm>
                        <a:prstGeom prst="straightConnector1">
                          <a:avLst/>
                        </a:prstGeom>
                        <a:noFill/>
                        <a:ln w="9525">
                          <a:solidFill>
                            <a:srgbClr val="000000"/>
                          </a:solidFill>
                          <a:round/>
                          <a:headEnd/>
                          <a:tailEnd type="triangle" w="med" len="med"/>
                        </a:ln>
                      </a:spPr>
                    </a:cxnSp>
                    <a:cxnSp>
                      <a:nvCxnSpPr>
                        <a:cNvPr id="8218" name="AutoShape 8"/>
                        <a:cNvCxnSpPr>
                          <a:cxnSpLocks noChangeShapeType="1"/>
                        </a:cNvCxnSpPr>
                      </a:nvCxnSpPr>
                      <a:spPr bwMode="auto">
                        <a:xfrm flipH="1">
                          <a:off x="6779" y="5752"/>
                          <a:ext cx="682" cy="1"/>
                        </a:xfrm>
                        <a:prstGeom prst="straightConnector1">
                          <a:avLst/>
                        </a:prstGeom>
                        <a:noFill/>
                        <a:ln w="9525">
                          <a:solidFill>
                            <a:srgbClr val="000000"/>
                          </a:solidFill>
                          <a:round/>
                          <a:headEnd/>
                          <a:tailEnd type="triangle" w="med" len="med"/>
                        </a:ln>
                      </a:spPr>
                    </a:cxnSp>
                    <a:sp>
                      <a:nvSpPr>
                        <a:cNvPr id="8219" name="Text Box 7"/>
                        <a:cNvSpPr txBox="1">
                          <a:spLocks noChangeArrowheads="1"/>
                        </a:cNvSpPr>
                      </a:nvSpPr>
                      <a:spPr bwMode="auto">
                        <a:xfrm>
                          <a:off x="7401" y="5463"/>
                          <a:ext cx="1867" cy="774"/>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200">
                                <a:latin typeface="Calibri" pitchFamily="34" charset="0"/>
                                <a:cs typeface="Times New Roman" pitchFamily="18" charset="0"/>
                              </a:rPr>
                              <a:t>NaCN+Kireç %30 katı pülp yoğunluğu</a:t>
                            </a:r>
                            <a:endParaRPr lang="tr-TR" sz="1200"/>
                          </a:p>
                        </a:txBody>
                        <a:useSpRect/>
                      </a:txSp>
                    </a:sp>
                    <a:cxnSp>
                      <a:nvCxnSpPr>
                        <a:cNvPr id="8220" name="AutoShape 6"/>
                        <a:cNvCxnSpPr>
                          <a:cxnSpLocks noChangeShapeType="1"/>
                        </a:cNvCxnSpPr>
                      </a:nvCxnSpPr>
                      <a:spPr bwMode="auto">
                        <a:xfrm>
                          <a:off x="6577" y="7367"/>
                          <a:ext cx="467" cy="12"/>
                        </a:xfrm>
                        <a:prstGeom prst="straightConnector1">
                          <a:avLst/>
                        </a:prstGeom>
                        <a:noFill/>
                        <a:ln w="9525">
                          <a:solidFill>
                            <a:srgbClr val="000000"/>
                          </a:solidFill>
                          <a:round/>
                          <a:headEnd/>
                          <a:tailEnd type="triangle" w="med" len="med"/>
                        </a:ln>
                      </a:spPr>
                    </a:cxnSp>
                    <a:cxnSp>
                      <a:nvCxnSpPr>
                        <a:cNvPr id="8221" name="AutoShape 5"/>
                        <a:cNvCxnSpPr>
                          <a:cxnSpLocks noChangeShapeType="1"/>
                        </a:cNvCxnSpPr>
                      </a:nvCxnSpPr>
                      <a:spPr bwMode="auto">
                        <a:xfrm>
                          <a:off x="7044" y="7378"/>
                          <a:ext cx="0" cy="353"/>
                        </a:xfrm>
                        <a:prstGeom prst="straightConnector1">
                          <a:avLst/>
                        </a:prstGeom>
                        <a:noFill/>
                        <a:ln w="9525">
                          <a:solidFill>
                            <a:srgbClr val="000000"/>
                          </a:solidFill>
                          <a:round/>
                          <a:headEnd/>
                          <a:tailEnd type="triangle" w="med" len="med"/>
                        </a:ln>
                      </a:spPr>
                    </a:cxnSp>
                    <a:sp>
                      <a:nvSpPr>
                        <a:cNvPr id="8222" name="Text Box 4"/>
                        <a:cNvSpPr txBox="1">
                          <a:spLocks noChangeArrowheads="1"/>
                        </a:cNvSpPr>
                      </a:nvSpPr>
                      <a:spPr bwMode="auto">
                        <a:xfrm>
                          <a:off x="6779" y="7730"/>
                          <a:ext cx="1529" cy="380"/>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tr-TR" sz="1200">
                                <a:latin typeface="Calibri" pitchFamily="34" charset="0"/>
                                <a:cs typeface="Times New Roman" pitchFamily="18" charset="0"/>
                              </a:rPr>
                              <a:t>Boş Liç Çözeltisi</a:t>
                            </a:r>
                            <a:endParaRPr lang="tr-TR" sz="1200"/>
                          </a:p>
                        </a:txBody>
                        <a:useSpRect/>
                      </a:txSp>
                    </a:sp>
                    <a:sp>
                      <a:nvSpPr>
                        <a:cNvPr id="8223" name="Text Box 3"/>
                        <a:cNvSpPr txBox="1">
                          <a:spLocks noChangeArrowheads="1"/>
                        </a:cNvSpPr>
                      </a:nvSpPr>
                      <a:spPr bwMode="auto">
                        <a:xfrm>
                          <a:off x="5188" y="7845"/>
                          <a:ext cx="1276" cy="372"/>
                        </a:xfrm>
                        <a:prstGeom prst="rect">
                          <a:avLst/>
                        </a:prstGeom>
                        <a:solidFill>
                          <a:srgbClr val="FFFFFF"/>
                        </a:solidFill>
                        <a:ln w="9525">
                          <a:solidFill>
                            <a:srgbClr val="000000"/>
                          </a:solidFill>
                          <a:miter lim="800000"/>
                          <a:headEnd/>
                          <a:tailEnd/>
                        </a:ln>
                      </a:spPr>
                      <a:txSp>
                        <a:txBody>
                          <a:bodyPr lIns="68031" tIns="34016" rIns="68031" bIns="34016"/>
                          <a:lstStyle>
                            <a:defPPr>
                              <a:defRPr lang="tr-T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tr-TR" sz="1200">
                                <a:latin typeface="Calibri" pitchFamily="34" charset="0"/>
                                <a:cs typeface="Times New Roman" pitchFamily="18" charset="0"/>
                              </a:rPr>
                              <a:t>Altın</a:t>
                            </a:r>
                            <a:endParaRPr lang="tr-TR" sz="1200"/>
                          </a:p>
                        </a:txBody>
                        <a:useSpRect/>
                      </a:txSp>
                    </a:sp>
                    <a:cxnSp>
                      <a:nvCxnSpPr>
                        <a:cNvPr id="8224" name="AutoShape 2"/>
                        <a:cNvCxnSpPr>
                          <a:cxnSpLocks noChangeShapeType="1"/>
                        </a:cNvCxnSpPr>
                      </a:nvCxnSpPr>
                      <a:spPr bwMode="auto">
                        <a:xfrm>
                          <a:off x="5811" y="7565"/>
                          <a:ext cx="16" cy="280"/>
                        </a:xfrm>
                        <a:prstGeom prst="straightConnector1">
                          <a:avLst/>
                        </a:prstGeom>
                        <a:noFill/>
                        <a:ln w="9525">
                          <a:solidFill>
                            <a:srgbClr val="000000"/>
                          </a:solidFill>
                          <a:round/>
                          <a:headEnd/>
                          <a:tailEnd type="triangle" w="med" len="med"/>
                        </a:ln>
                      </a:spPr>
                    </a:cxnSp>
                  </a:grpSp>
                </lc:lockedCanvas>
              </a:graphicData>
            </a:graphic>
          </wp:anchor>
        </w:drawing>
      </w:r>
    </w:p>
    <w:p w:rsidR="001F5FA8" w:rsidRPr="00D6441B" w:rsidRDefault="001F5FA8" w:rsidP="001F5FA8">
      <w:pPr>
        <w:tabs>
          <w:tab w:val="left" w:pos="3000"/>
        </w:tabs>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r>
        <w:rPr>
          <w:rFonts w:ascii="Times New Roman" w:hAnsi="Times New Roman"/>
          <w:bCs/>
          <w:i/>
          <w:noProof/>
          <w:color w:val="000000"/>
          <w:sz w:val="24"/>
          <w:szCs w:val="24"/>
          <w:lang w:val="en-AU" w:eastAsia="en-AU"/>
        </w:rPr>
        <w:drawing>
          <wp:anchor distT="12192" distB="18923" distL="114300" distR="115062" simplePos="0" relativeHeight="251660288" behindDoc="1" locked="0" layoutInCell="1" allowOverlap="1">
            <wp:simplePos x="0" y="0"/>
            <wp:positionH relativeFrom="column">
              <wp:posOffset>-560959</wp:posOffset>
            </wp:positionH>
            <wp:positionV relativeFrom="paragraph">
              <wp:posOffset>1281049</wp:posOffset>
            </wp:positionV>
            <wp:extent cx="2308225" cy="795147"/>
            <wp:effectExtent l="6096" t="0" r="5334" b="0"/>
            <wp:wrapSquare wrapText="bothSides"/>
            <wp:docPr id="228" name="Nesne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05050" cy="792162"/>
                      <a:chOff x="250825" y="4868863"/>
                      <a:chExt cx="2305050" cy="792162"/>
                    </a:xfrm>
                  </a:grpSpPr>
                  <a:sp>
                    <a:nvSpPr>
                      <a:cNvPr id="33" name="32 Oval"/>
                      <a:cNvSpPr/>
                    </a:nvSpPr>
                    <a:spPr>
                      <a:xfrm>
                        <a:off x="250825" y="4868863"/>
                        <a:ext cx="2305050" cy="792162"/>
                      </a:xfrm>
                      <a:prstGeom prst="ellipse">
                        <a:avLst/>
                      </a:prstGeom>
                      <a:noFill/>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tr-T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Cs/>
          <w:i/>
          <w:color w:val="000000"/>
          <w:sz w:val="24"/>
          <w:szCs w:val="24"/>
        </w:rPr>
      </w:pPr>
    </w:p>
    <w:p w:rsidR="001F5FA8" w:rsidRPr="00D6441B" w:rsidRDefault="001F5FA8" w:rsidP="001F5FA8">
      <w:pPr>
        <w:spacing w:before="120" w:after="120" w:line="240" w:lineRule="auto"/>
        <w:jc w:val="both"/>
        <w:rPr>
          <w:rFonts w:ascii="Times New Roman" w:hAnsi="Times New Roman"/>
          <w:b/>
          <w:bCs/>
          <w:i/>
          <w:color w:val="000000"/>
          <w:sz w:val="24"/>
          <w:szCs w:val="24"/>
        </w:rPr>
      </w:pPr>
    </w:p>
    <w:p w:rsidR="00D72895" w:rsidRDefault="00D72895" w:rsidP="001F5FA8">
      <w:pPr>
        <w:spacing w:before="120" w:after="120" w:line="240" w:lineRule="auto"/>
        <w:jc w:val="center"/>
        <w:rPr>
          <w:rFonts w:ascii="Times New Roman" w:hAnsi="Times New Roman"/>
          <w:b/>
          <w:bCs/>
          <w:color w:val="000000"/>
          <w:sz w:val="24"/>
          <w:szCs w:val="24"/>
        </w:rPr>
      </w:pPr>
    </w:p>
    <w:p w:rsidR="00D72895" w:rsidRPr="00D72895" w:rsidRDefault="001F5FA8" w:rsidP="00D72895">
      <w:pPr>
        <w:spacing w:before="120" w:after="120" w:line="240" w:lineRule="auto"/>
        <w:jc w:val="center"/>
        <w:rPr>
          <w:rFonts w:ascii="Times New Roman" w:hAnsi="Times New Roman"/>
          <w:sz w:val="24"/>
          <w:szCs w:val="24"/>
        </w:rPr>
        <w:sectPr w:rsidR="00D72895" w:rsidRPr="00D72895" w:rsidSect="006959C4">
          <w:type w:val="continuous"/>
          <w:pgSz w:w="11906" w:h="16838"/>
          <w:pgMar w:top="1417" w:right="849" w:bottom="1417" w:left="1134" w:header="708" w:footer="708" w:gutter="0"/>
          <w:cols w:space="708"/>
          <w:docGrid w:linePitch="360"/>
        </w:sectPr>
      </w:pPr>
      <w:r w:rsidRPr="00D6441B">
        <w:rPr>
          <w:rFonts w:ascii="Times New Roman" w:hAnsi="Times New Roman"/>
          <w:b/>
          <w:bCs/>
          <w:color w:val="000000"/>
          <w:sz w:val="24"/>
          <w:szCs w:val="24"/>
        </w:rPr>
        <w:t xml:space="preserve">Şekil 2. </w:t>
      </w:r>
      <w:r w:rsidRPr="00D6441B">
        <w:rPr>
          <w:rFonts w:ascii="Times New Roman" w:hAnsi="Times New Roman"/>
          <w:bCs/>
          <w:color w:val="000000"/>
          <w:sz w:val="24"/>
          <w:szCs w:val="24"/>
        </w:rPr>
        <w:t>Altın üretim akım şeması (</w:t>
      </w:r>
      <w:r w:rsidRPr="00D6441B">
        <w:rPr>
          <w:rFonts w:ascii="Times New Roman" w:hAnsi="Times New Roman"/>
          <w:sz w:val="24"/>
          <w:szCs w:val="24"/>
        </w:rPr>
        <w:t>Sayın Z. E.,Batar T., Kaya E., Tufan B. (2010)</w:t>
      </w:r>
    </w:p>
    <w:tbl>
      <w:tblPr>
        <w:tblW w:w="0" w:type="auto"/>
        <w:tblLook w:val="01E0" w:firstRow="1" w:lastRow="1" w:firstColumn="1" w:lastColumn="1" w:noHBand="0" w:noVBand="0"/>
      </w:tblPr>
      <w:tblGrid>
        <w:gridCol w:w="4823"/>
      </w:tblGrid>
      <w:tr w:rsidR="001F5FA8" w:rsidRPr="00D6441B" w:rsidTr="008D1314">
        <w:trPr>
          <w:trHeight w:val="3835"/>
        </w:trPr>
        <w:tc>
          <w:tcPr>
            <w:tcW w:w="9212" w:type="dxa"/>
          </w:tcPr>
          <w:p w:rsidR="00D72895" w:rsidRDefault="00D72895" w:rsidP="008D1314">
            <w:pPr>
              <w:autoSpaceDE w:val="0"/>
              <w:autoSpaceDN w:val="0"/>
              <w:adjustRightInd w:val="0"/>
              <w:spacing w:before="120" w:after="120" w:line="240" w:lineRule="auto"/>
              <w:jc w:val="both"/>
              <w:rPr>
                <w:rFonts w:ascii="Times New Roman" w:hAnsi="Times New Roman"/>
                <w:bCs/>
                <w:i/>
                <w:color w:val="000000"/>
                <w:sz w:val="24"/>
                <w:szCs w:val="24"/>
              </w:rPr>
            </w:pPr>
            <w:r>
              <w:rPr>
                <w:rFonts w:ascii="Times New Roman" w:hAnsi="Times New Roman"/>
                <w:bCs/>
                <w:i/>
                <w:noProof/>
                <w:color w:val="000000"/>
                <w:sz w:val="24"/>
                <w:szCs w:val="24"/>
                <w:lang w:val="en-AU" w:eastAsia="en-AU"/>
              </w:rPr>
              <w:lastRenderedPageBreak/>
              <w:drawing>
                <wp:anchor distT="0" distB="0" distL="114300" distR="114300" simplePos="0" relativeHeight="251670528" behindDoc="0" locked="0" layoutInCell="1" allowOverlap="1">
                  <wp:simplePos x="0" y="0"/>
                  <wp:positionH relativeFrom="column">
                    <wp:posOffset>-15240</wp:posOffset>
                  </wp:positionH>
                  <wp:positionV relativeFrom="paragraph">
                    <wp:posOffset>-4445</wp:posOffset>
                  </wp:positionV>
                  <wp:extent cx="2733675" cy="1933575"/>
                  <wp:effectExtent l="19050" t="0" r="9525" b="0"/>
                  <wp:wrapNone/>
                  <wp:docPr id="2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45" cstate="print"/>
                          <a:srcRect/>
                          <a:stretch>
                            <a:fillRect/>
                          </a:stretch>
                        </pic:blipFill>
                        <pic:spPr bwMode="auto">
                          <a:xfrm>
                            <a:off x="0" y="0"/>
                            <a:ext cx="2733675" cy="1933575"/>
                          </a:xfrm>
                          <a:prstGeom prst="rect">
                            <a:avLst/>
                          </a:prstGeom>
                          <a:noFill/>
                          <a:ln w="9525">
                            <a:noFill/>
                            <a:miter lim="800000"/>
                            <a:headEnd/>
                            <a:tailEnd/>
                          </a:ln>
                        </pic:spPr>
                      </pic:pic>
                    </a:graphicData>
                  </a:graphic>
                </wp:anchor>
              </w:drawing>
            </w:r>
          </w:p>
          <w:p w:rsidR="001F5FA8" w:rsidRDefault="00D72895" w:rsidP="008D1314">
            <w:pPr>
              <w:autoSpaceDE w:val="0"/>
              <w:autoSpaceDN w:val="0"/>
              <w:adjustRightInd w:val="0"/>
              <w:spacing w:before="120" w:after="120" w:line="240" w:lineRule="auto"/>
              <w:jc w:val="both"/>
              <w:rPr>
                <w:rFonts w:ascii="Times New Roman" w:hAnsi="Times New Roman"/>
                <w:bCs/>
                <w:i/>
                <w:color w:val="000000"/>
                <w:sz w:val="24"/>
                <w:szCs w:val="24"/>
              </w:rPr>
            </w:pPr>
            <w:r>
              <w:rPr>
                <w:rFonts w:ascii="Times New Roman" w:hAnsi="Times New Roman"/>
                <w:bCs/>
                <w:i/>
                <w:color w:val="000000"/>
                <w:sz w:val="24"/>
                <w:szCs w:val="24"/>
              </w:rPr>
              <w:t xml:space="preserve">   </w:t>
            </w:r>
          </w:p>
          <w:p w:rsidR="00D72895" w:rsidRDefault="00D72895" w:rsidP="008D1314">
            <w:pPr>
              <w:autoSpaceDE w:val="0"/>
              <w:autoSpaceDN w:val="0"/>
              <w:adjustRightInd w:val="0"/>
              <w:spacing w:before="120" w:after="120" w:line="240" w:lineRule="auto"/>
              <w:jc w:val="both"/>
              <w:rPr>
                <w:rFonts w:ascii="Times New Roman" w:hAnsi="Times New Roman"/>
                <w:bCs/>
                <w:i/>
                <w:color w:val="000000"/>
                <w:sz w:val="24"/>
                <w:szCs w:val="24"/>
              </w:rPr>
            </w:pPr>
          </w:p>
          <w:p w:rsidR="00D72895" w:rsidRDefault="00D72895" w:rsidP="008D1314">
            <w:pPr>
              <w:autoSpaceDE w:val="0"/>
              <w:autoSpaceDN w:val="0"/>
              <w:adjustRightInd w:val="0"/>
              <w:spacing w:before="120" w:after="120" w:line="240" w:lineRule="auto"/>
              <w:jc w:val="both"/>
              <w:rPr>
                <w:rFonts w:ascii="Times New Roman" w:hAnsi="Times New Roman"/>
                <w:bCs/>
                <w:i/>
                <w:color w:val="000000"/>
                <w:sz w:val="24"/>
                <w:szCs w:val="24"/>
              </w:rPr>
            </w:pPr>
          </w:p>
          <w:p w:rsidR="00D72895" w:rsidRDefault="00D72895" w:rsidP="008D1314">
            <w:pPr>
              <w:autoSpaceDE w:val="0"/>
              <w:autoSpaceDN w:val="0"/>
              <w:adjustRightInd w:val="0"/>
              <w:spacing w:before="120" w:after="120" w:line="240" w:lineRule="auto"/>
              <w:jc w:val="both"/>
              <w:rPr>
                <w:rFonts w:ascii="Times New Roman" w:hAnsi="Times New Roman"/>
                <w:bCs/>
                <w:i/>
                <w:color w:val="000000"/>
                <w:sz w:val="24"/>
                <w:szCs w:val="24"/>
              </w:rPr>
            </w:pPr>
          </w:p>
          <w:p w:rsidR="00D72895" w:rsidRDefault="00D72895" w:rsidP="008D1314">
            <w:pPr>
              <w:autoSpaceDE w:val="0"/>
              <w:autoSpaceDN w:val="0"/>
              <w:adjustRightInd w:val="0"/>
              <w:spacing w:before="120" w:after="120" w:line="240" w:lineRule="auto"/>
              <w:jc w:val="both"/>
              <w:rPr>
                <w:rFonts w:ascii="Times New Roman" w:hAnsi="Times New Roman"/>
                <w:bCs/>
                <w:i/>
                <w:color w:val="000000"/>
                <w:sz w:val="24"/>
                <w:szCs w:val="24"/>
              </w:rPr>
            </w:pPr>
          </w:p>
          <w:p w:rsidR="00D72895" w:rsidRDefault="00D72895" w:rsidP="008D1314">
            <w:pPr>
              <w:autoSpaceDE w:val="0"/>
              <w:autoSpaceDN w:val="0"/>
              <w:adjustRightInd w:val="0"/>
              <w:spacing w:before="120" w:after="120" w:line="240" w:lineRule="auto"/>
              <w:jc w:val="both"/>
              <w:rPr>
                <w:rFonts w:ascii="Times New Roman" w:hAnsi="Times New Roman"/>
                <w:bCs/>
                <w:i/>
                <w:color w:val="000000"/>
                <w:sz w:val="24"/>
                <w:szCs w:val="24"/>
              </w:rPr>
            </w:pPr>
          </w:p>
          <w:p w:rsidR="00D72895" w:rsidRDefault="00D72895" w:rsidP="008D1314">
            <w:pPr>
              <w:autoSpaceDE w:val="0"/>
              <w:autoSpaceDN w:val="0"/>
              <w:adjustRightInd w:val="0"/>
              <w:spacing w:before="120" w:after="120" w:line="240" w:lineRule="auto"/>
              <w:jc w:val="both"/>
              <w:rPr>
                <w:rFonts w:ascii="Times New Roman" w:hAnsi="Times New Roman"/>
                <w:bCs/>
                <w:i/>
                <w:color w:val="000000"/>
                <w:sz w:val="24"/>
                <w:szCs w:val="24"/>
              </w:rPr>
            </w:pPr>
          </w:p>
          <w:p w:rsidR="00D72895" w:rsidRDefault="00D72895" w:rsidP="008D1314">
            <w:pPr>
              <w:autoSpaceDE w:val="0"/>
              <w:autoSpaceDN w:val="0"/>
              <w:adjustRightInd w:val="0"/>
              <w:spacing w:before="120" w:after="120" w:line="240" w:lineRule="auto"/>
              <w:jc w:val="both"/>
              <w:rPr>
                <w:rFonts w:ascii="Times New Roman" w:hAnsi="Times New Roman"/>
                <w:bCs/>
                <w:color w:val="000000"/>
                <w:sz w:val="24"/>
                <w:szCs w:val="24"/>
              </w:rPr>
            </w:pPr>
            <w:r w:rsidRPr="00D72895">
              <w:rPr>
                <w:rFonts w:ascii="Times New Roman" w:hAnsi="Times New Roman"/>
                <w:b/>
                <w:bCs/>
                <w:color w:val="000000"/>
                <w:sz w:val="24"/>
                <w:szCs w:val="24"/>
              </w:rPr>
              <w:t>Şekil.3</w:t>
            </w:r>
            <w:r>
              <w:rPr>
                <w:rFonts w:ascii="Times New Roman" w:hAnsi="Times New Roman"/>
                <w:bCs/>
                <w:i/>
                <w:color w:val="000000"/>
                <w:sz w:val="24"/>
                <w:szCs w:val="24"/>
              </w:rPr>
              <w:t xml:space="preserve"> </w:t>
            </w:r>
            <w:r w:rsidRPr="00D6441B">
              <w:rPr>
                <w:rFonts w:ascii="Times New Roman" w:hAnsi="Times New Roman"/>
                <w:bCs/>
                <w:color w:val="000000"/>
                <w:sz w:val="24"/>
                <w:szCs w:val="24"/>
              </w:rPr>
              <w:t>Katı fazın kurutulduktan sonraki görünüşü</w:t>
            </w:r>
          </w:p>
          <w:p w:rsidR="002D0399" w:rsidRPr="00D6441B" w:rsidRDefault="002D0399" w:rsidP="008D1314">
            <w:pPr>
              <w:autoSpaceDE w:val="0"/>
              <w:autoSpaceDN w:val="0"/>
              <w:adjustRightInd w:val="0"/>
              <w:spacing w:before="120" w:after="120" w:line="240" w:lineRule="auto"/>
              <w:jc w:val="both"/>
              <w:rPr>
                <w:rFonts w:ascii="Times New Roman" w:hAnsi="Times New Roman"/>
                <w:bCs/>
                <w:i/>
                <w:color w:val="000000"/>
                <w:sz w:val="24"/>
                <w:szCs w:val="24"/>
              </w:rPr>
            </w:pPr>
          </w:p>
        </w:tc>
      </w:tr>
    </w:tbl>
    <w:p w:rsidR="001F5FA8" w:rsidRPr="00D6441B" w:rsidRDefault="001F5FA8" w:rsidP="001F5FA8">
      <w:pPr>
        <w:autoSpaceDE w:val="0"/>
        <w:autoSpaceDN w:val="0"/>
        <w:adjustRightInd w:val="0"/>
        <w:spacing w:before="120" w:after="120" w:line="240" w:lineRule="auto"/>
        <w:jc w:val="both"/>
        <w:rPr>
          <w:rFonts w:ascii="Times New Roman" w:hAnsi="Times New Roman"/>
          <w:bCs/>
          <w:i/>
          <w:sz w:val="24"/>
          <w:szCs w:val="24"/>
        </w:rPr>
      </w:pPr>
      <w:r w:rsidRPr="00D6441B">
        <w:rPr>
          <w:rFonts w:ascii="Times New Roman" w:hAnsi="Times New Roman"/>
          <w:b/>
          <w:sz w:val="24"/>
          <w:szCs w:val="24"/>
        </w:rPr>
        <w:t>4. MATERYAL VE YÖNTEM</w:t>
      </w:r>
    </w:p>
    <w:p w:rsidR="001F5FA8" w:rsidRPr="00D6441B" w:rsidRDefault="001F5FA8" w:rsidP="001F5FA8">
      <w:pPr>
        <w:pStyle w:val="ListParagraph"/>
        <w:spacing w:before="120" w:after="120"/>
        <w:ind w:left="0"/>
        <w:jc w:val="both"/>
        <w:rPr>
          <w:bCs/>
          <w:i/>
          <w:color w:val="000000"/>
        </w:rPr>
      </w:pPr>
    </w:p>
    <w:p w:rsidR="001F5FA8" w:rsidRPr="00D6441B" w:rsidRDefault="001F5FA8" w:rsidP="001F5FA8">
      <w:pPr>
        <w:pStyle w:val="ListParagraph"/>
        <w:spacing w:before="120" w:after="120"/>
        <w:ind w:left="0"/>
        <w:jc w:val="both"/>
      </w:pPr>
      <w:r w:rsidRPr="00D6441B">
        <w:t>Deneysel çalışmalarda kullanılan hammaddeler liç atığı, şişe camın üretimde kullandığı masse (mısır kumu) ile bor türevlerinden kalsine tinkal (max. %52 B</w:t>
      </w:r>
      <w:r w:rsidRPr="00D6441B">
        <w:rPr>
          <w:vertAlign w:val="subscript"/>
        </w:rPr>
        <w:t>2</w:t>
      </w:r>
      <w:r w:rsidRPr="00D6441B">
        <w:t>O</w:t>
      </w:r>
      <w:r w:rsidRPr="00D6441B">
        <w:rPr>
          <w:vertAlign w:val="subscript"/>
        </w:rPr>
        <w:t>3</w:t>
      </w:r>
      <w:r w:rsidRPr="00D6441B">
        <w:t>), borik asit (% 56,25 B</w:t>
      </w:r>
      <w:r w:rsidRPr="00D6441B">
        <w:rPr>
          <w:vertAlign w:val="subscript"/>
        </w:rPr>
        <w:t>2</w:t>
      </w:r>
      <w:r w:rsidRPr="00D6441B">
        <w:t>O</w:t>
      </w:r>
      <w:r w:rsidRPr="00D6441B">
        <w:rPr>
          <w:vertAlign w:val="subscript"/>
        </w:rPr>
        <w:t>3</w:t>
      </w:r>
      <w:r w:rsidRPr="00D6441B">
        <w:t>) ve boraks pentahidrattır (min. 47,76 % B</w:t>
      </w:r>
      <w:r w:rsidRPr="00D6441B">
        <w:rPr>
          <w:vertAlign w:val="subscript"/>
        </w:rPr>
        <w:t>2</w:t>
      </w:r>
      <w:r w:rsidRPr="00D6441B">
        <w:t>O</w:t>
      </w:r>
      <w:r w:rsidRPr="00D6441B">
        <w:rPr>
          <w:vertAlign w:val="subscript"/>
        </w:rPr>
        <w:t>3</w:t>
      </w:r>
      <w:r w:rsidRPr="00D6441B">
        <w:t xml:space="preserve">). Liç atıkları, halen altın üretimi yapan bir işletmeden bor türevleri ise Etimaden Kırka Bor İşletmelerinden temin edilmiştir. </w:t>
      </w:r>
    </w:p>
    <w:p w:rsidR="001F5FA8" w:rsidRPr="00D6441B" w:rsidRDefault="001F5FA8" w:rsidP="001F5FA8">
      <w:pPr>
        <w:pStyle w:val="ListParagraph"/>
        <w:spacing w:before="120" w:after="120"/>
        <w:ind w:left="0"/>
        <w:jc w:val="both"/>
        <w:rPr>
          <w:color w:val="000000"/>
        </w:rPr>
      </w:pPr>
      <w:r w:rsidRPr="00D6441B">
        <w:t xml:space="preserve">Altın liçi hazırlama işleminde, madenden alınan cevher; kırma, öğütme, harmanlama ve numune bölme işlemlerinden geçirilmiş, sodyum siyanür (NaCN) ve kireç ile tank liçi yapılmıştır. Altın elde etmekteki temel yöntem cevherin liç edilmesidir. Bu  projede liç işlemi sonrası kalan katı atık (Şekil 2) filtrasyon işleminden geçirildikten sonra doğal kurutma yöntemi ile kurutularak elde edilmiştir </w:t>
      </w:r>
      <w:r w:rsidRPr="00D6441B">
        <w:rPr>
          <w:bCs/>
          <w:color w:val="000000"/>
        </w:rPr>
        <w:t>(</w:t>
      </w:r>
      <w:r w:rsidRPr="00D6441B">
        <w:t>Sayın Z. E.,Batar T., Kaya E., Tufan B. (2010). Bu şekilde elde edilen katı atık değerlendirilerek ekonomiye katkı sağlayabilecek renkli, sert borosilikat-borcam üretimi gerçekleştirilmiştir</w:t>
      </w:r>
      <w:r w:rsidRPr="00D6441B">
        <w:rPr>
          <w:bCs/>
          <w:i/>
          <w:color w:val="000000"/>
        </w:rPr>
        <w:t xml:space="preserve"> </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Toplamı 110 g olan, 6 farklı oranda karışım ve </w:t>
      </w:r>
      <w:r w:rsidRPr="00D6441B">
        <w:rPr>
          <w:rFonts w:ascii="Times New Roman" w:hAnsi="Times New Roman"/>
          <w:color w:val="000000"/>
          <w:sz w:val="24"/>
          <w:szCs w:val="24"/>
        </w:rPr>
        <w:t xml:space="preserve">5 farklı malzeme ilavesi ile </w:t>
      </w:r>
      <w:r w:rsidRPr="00D6441B">
        <w:rPr>
          <w:rFonts w:ascii="Times New Roman" w:hAnsi="Times New Roman"/>
          <w:sz w:val="24"/>
          <w:szCs w:val="24"/>
        </w:rPr>
        <w:t xml:space="preserve">hazırlanmıştır </w:t>
      </w:r>
      <w:r w:rsidRPr="00D6441B">
        <w:rPr>
          <w:rFonts w:ascii="Times New Roman" w:hAnsi="Times New Roman"/>
          <w:color w:val="000000"/>
          <w:sz w:val="24"/>
          <w:szCs w:val="24"/>
        </w:rPr>
        <w:t xml:space="preserve">(renksiz olan numuneden referans olarak </w:t>
      </w:r>
      <w:r w:rsidRPr="00D6441B">
        <w:rPr>
          <w:rFonts w:ascii="Times New Roman" w:hAnsi="Times New Roman"/>
          <w:color w:val="000000"/>
          <w:sz w:val="24"/>
          <w:szCs w:val="24"/>
        </w:rPr>
        <w:lastRenderedPageBreak/>
        <w:t>eritilmiştir)</w:t>
      </w:r>
      <w:r w:rsidRPr="00D6441B">
        <w:rPr>
          <w:rFonts w:ascii="Times New Roman" w:hAnsi="Times New Roman"/>
          <w:sz w:val="24"/>
          <w:szCs w:val="24"/>
        </w:rPr>
        <w:t>. Bunlar sırasıyla BAL1, …, BAL6’dır. Ayrıca, karşılaştırma yapabilmek için fabrikanın kullanmış olduğu REFERANS karışım REF olarak adlandırılmıştır. Her bir karışımda</w:t>
      </w:r>
      <w:r w:rsidR="00D72895">
        <w:rPr>
          <w:rFonts w:ascii="Times New Roman" w:hAnsi="Times New Roman"/>
          <w:sz w:val="24"/>
          <w:szCs w:val="24"/>
        </w:rPr>
        <w:t xml:space="preserve"> kullanılan bor türevi miktarı, </w:t>
      </w:r>
      <w:r w:rsidRPr="00D6441B">
        <w:rPr>
          <w:rFonts w:ascii="Times New Roman" w:hAnsi="Times New Roman"/>
          <w:sz w:val="24"/>
          <w:szCs w:val="24"/>
        </w:rPr>
        <w:t xml:space="preserve">fabrikanın kullandığı miktar esas alınarak, 30,69 g olarak belirlenmiştir. Liç atığı miktarı da 0,55 g’dan başlayarak 1,93 g’a kadar değişen oranlarda arttırılmıştır. </w:t>
      </w:r>
      <w:r w:rsidRPr="00D6441B">
        <w:rPr>
          <w:rFonts w:ascii="Times New Roman" w:hAnsi="Times New Roman"/>
          <w:color w:val="000000"/>
          <w:sz w:val="24"/>
          <w:szCs w:val="24"/>
        </w:rPr>
        <w:t>Numunede bulunan renk verici özellikteki elementlerin fazla olması nedeni ile atık malzeme miktarı 0,55 ile 1,96 g arasında tutulmuştur. Atıkta, renk oluşumuna neden olan esas kaynağın metal oksitler olması dikkate alınarak atık miktarı az tutulmuştur. Normal koşullarda cam fabrikası, renkli camlarda renklendirici olarak Cr ve Mn kullanmaktadır. Normal koşullarda Cr cama yeşil renk, Mn da mor renk vermektedir. Cr'un indirgen formu (Cr</w:t>
      </w:r>
      <w:r w:rsidRPr="00D6441B">
        <w:rPr>
          <w:rFonts w:ascii="Times New Roman" w:hAnsi="Times New Roman"/>
          <w:color w:val="000000"/>
          <w:sz w:val="24"/>
          <w:szCs w:val="24"/>
          <w:vertAlign w:val="superscript"/>
        </w:rPr>
        <w:t>+3</w:t>
      </w:r>
      <w:r w:rsidRPr="00D6441B">
        <w:rPr>
          <w:rFonts w:ascii="Times New Roman" w:hAnsi="Times New Roman"/>
          <w:color w:val="000000"/>
          <w:sz w:val="24"/>
          <w:szCs w:val="24"/>
        </w:rPr>
        <w:t>) koyu yeşil, yükseltgen formu ise (Cr</w:t>
      </w:r>
      <w:r w:rsidRPr="00D6441B">
        <w:rPr>
          <w:rFonts w:ascii="Times New Roman" w:hAnsi="Times New Roman"/>
          <w:color w:val="000000"/>
          <w:sz w:val="24"/>
          <w:szCs w:val="24"/>
          <w:vertAlign w:val="superscript"/>
        </w:rPr>
        <w:t>+6</w:t>
      </w:r>
      <w:r w:rsidRPr="00D6441B">
        <w:rPr>
          <w:rFonts w:ascii="Times New Roman" w:hAnsi="Times New Roman"/>
          <w:color w:val="000000"/>
          <w:sz w:val="24"/>
          <w:szCs w:val="24"/>
        </w:rPr>
        <w:t>) daha sarımsı yeşil renk vermektedir. Mn da ise indirgen formu (Mn</w:t>
      </w:r>
      <w:r w:rsidRPr="00D6441B">
        <w:rPr>
          <w:rFonts w:ascii="Times New Roman" w:hAnsi="Times New Roman"/>
          <w:color w:val="000000"/>
          <w:sz w:val="24"/>
          <w:szCs w:val="24"/>
          <w:vertAlign w:val="superscript"/>
        </w:rPr>
        <w:t>+2</w:t>
      </w:r>
      <w:r w:rsidRPr="00D6441B">
        <w:rPr>
          <w:rFonts w:ascii="Times New Roman" w:hAnsi="Times New Roman"/>
          <w:color w:val="000000"/>
          <w:sz w:val="24"/>
          <w:szCs w:val="24"/>
        </w:rPr>
        <w:t>) renksiz iken, Mn</w:t>
      </w:r>
      <w:r w:rsidRPr="00D6441B">
        <w:rPr>
          <w:rFonts w:ascii="Times New Roman" w:hAnsi="Times New Roman"/>
          <w:color w:val="000000"/>
          <w:sz w:val="24"/>
          <w:szCs w:val="24"/>
          <w:vertAlign w:val="superscript"/>
        </w:rPr>
        <w:t>+4</w:t>
      </w:r>
      <w:r w:rsidRPr="00D6441B">
        <w:rPr>
          <w:rFonts w:ascii="Times New Roman" w:hAnsi="Times New Roman"/>
          <w:color w:val="000000"/>
          <w:sz w:val="24"/>
          <w:szCs w:val="24"/>
        </w:rPr>
        <w:t xml:space="preserve"> mor rengi vermektedir. Normalde camda Cr ve Mn birlikte bulunduklarında ise Cr, Mn' ı oksitler. </w:t>
      </w:r>
      <w:r w:rsidRPr="00D6441B">
        <w:rPr>
          <w:rFonts w:ascii="Times New Roman" w:hAnsi="Times New Roman"/>
          <w:sz w:val="24"/>
          <w:szCs w:val="24"/>
        </w:rPr>
        <w:t xml:space="preserve">Mısır kumu ise artan liç atığı ile ters orantılı olarak azaltılmış ve her bir bileşen için toplam 110 g’lık karışım hazırlanmıştır (Tablo 3). Üretim sonrası gerekli testleri yapabilmek için her bir karışımdan iki adet hazırlanmıştır. Daha sonra cam fabrikasında, söz konusu karışımlardan ikişer adet Borosilikat Bor Cam üretilmiştir. </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color w:val="000000"/>
          <w:sz w:val="24"/>
          <w:szCs w:val="24"/>
        </w:rPr>
        <w:t xml:space="preserve">Eritişi yapılan atık kimyasal kompozisyonun renk ve optik performansı değerlendirilmiştir. Bu oksit oranları dikkate alınarak yapılan ergitişler atık içermeyen renksiz cam kompozisyonu ve spektrumuyla karşılaştırılmıştır. </w:t>
      </w:r>
      <w:r w:rsidRPr="00D6441B">
        <w:rPr>
          <w:rFonts w:ascii="Times New Roman" w:hAnsi="Times New Roman"/>
          <w:sz w:val="24"/>
          <w:szCs w:val="24"/>
        </w:rPr>
        <w:t xml:space="preserve">Eritiş analizleri XRF-X ışını floresans cihazı ile yapılmıştır. Isıl genleşme katsayısı hesapları ve geçirgenlik spektrumları Perkin Elmer Lambda 900-Uv-Vis-Nır spektrofotometre ile ölçülmüştür. </w:t>
      </w:r>
    </w:p>
    <w:p w:rsidR="001F5FA8" w:rsidRPr="00D6441B" w:rsidRDefault="001F5FA8" w:rsidP="001F5FA8">
      <w:pPr>
        <w:autoSpaceDE w:val="0"/>
        <w:autoSpaceDN w:val="0"/>
        <w:adjustRightInd w:val="0"/>
        <w:spacing w:before="120" w:after="120" w:line="240" w:lineRule="auto"/>
        <w:jc w:val="both"/>
        <w:rPr>
          <w:rFonts w:ascii="Times New Roman" w:hAnsi="Times New Roman"/>
          <w:b/>
          <w:bCs/>
          <w:i/>
          <w:color w:val="000000"/>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b/>
          <w:bCs/>
          <w:color w:val="000000"/>
          <w:sz w:val="24"/>
          <w:szCs w:val="24"/>
        </w:rPr>
        <w:sectPr w:rsidR="00D72895" w:rsidSect="00E230BE">
          <w:type w:val="continuous"/>
          <w:pgSz w:w="11906" w:h="16838"/>
          <w:pgMar w:top="1417" w:right="849" w:bottom="1417" w:left="1134" w:header="708" w:footer="340" w:gutter="0"/>
          <w:cols w:num="2" w:space="708"/>
          <w:docGrid w:linePitch="360"/>
        </w:sectPr>
      </w:pPr>
    </w:p>
    <w:p w:rsidR="00D72895" w:rsidRDefault="00D72895" w:rsidP="001F5FA8">
      <w:pPr>
        <w:autoSpaceDE w:val="0"/>
        <w:autoSpaceDN w:val="0"/>
        <w:adjustRightInd w:val="0"/>
        <w:spacing w:before="120" w:after="120" w:line="240" w:lineRule="auto"/>
        <w:jc w:val="both"/>
        <w:rPr>
          <w:rFonts w:ascii="Times New Roman" w:hAnsi="Times New Roman"/>
          <w:b/>
          <w:bCs/>
          <w:color w:val="000000"/>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b/>
          <w:bCs/>
          <w:color w:val="000000"/>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b/>
          <w:bCs/>
          <w:color w:val="000000"/>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b/>
          <w:bCs/>
          <w:color w:val="000000"/>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bCs/>
          <w:color w:val="000000"/>
          <w:sz w:val="24"/>
          <w:szCs w:val="24"/>
        </w:rPr>
      </w:pPr>
      <w:r w:rsidRPr="00D6441B">
        <w:rPr>
          <w:rFonts w:ascii="Times New Roman" w:hAnsi="Times New Roman"/>
          <w:b/>
          <w:bCs/>
          <w:color w:val="000000"/>
          <w:sz w:val="24"/>
          <w:szCs w:val="24"/>
        </w:rPr>
        <w:lastRenderedPageBreak/>
        <w:t>Tablo 3.</w:t>
      </w:r>
      <w:r w:rsidRPr="00D6441B">
        <w:rPr>
          <w:rFonts w:ascii="Times New Roman" w:hAnsi="Times New Roman"/>
          <w:bCs/>
          <w:color w:val="000000"/>
          <w:sz w:val="24"/>
          <w:szCs w:val="24"/>
        </w:rPr>
        <w:t>Cam üretimde kullanılan karışımların oranları</w:t>
      </w:r>
    </w:p>
    <w:tbl>
      <w:tblPr>
        <w:tblW w:w="8781" w:type="dxa"/>
        <w:tblCellMar>
          <w:left w:w="70" w:type="dxa"/>
          <w:right w:w="70" w:type="dxa"/>
        </w:tblCellMar>
        <w:tblLook w:val="00A0" w:firstRow="1" w:lastRow="0" w:firstColumn="1" w:lastColumn="0" w:noHBand="0" w:noVBand="0"/>
      </w:tblPr>
      <w:tblGrid>
        <w:gridCol w:w="960"/>
        <w:gridCol w:w="960"/>
        <w:gridCol w:w="1221"/>
        <w:gridCol w:w="960"/>
        <w:gridCol w:w="2000"/>
        <w:gridCol w:w="960"/>
        <w:gridCol w:w="1720"/>
      </w:tblGrid>
      <w:tr w:rsidR="001F5FA8" w:rsidRPr="00D6441B" w:rsidTr="008D1314">
        <w:trPr>
          <w:trHeight w:val="780"/>
        </w:trPr>
        <w:tc>
          <w:tcPr>
            <w:tcW w:w="960" w:type="dxa"/>
            <w:tcBorders>
              <w:top w:val="single" w:sz="8" w:space="0" w:color="auto"/>
              <w:left w:val="single" w:sz="8" w:space="0" w:color="auto"/>
              <w:right w:val="single" w:sz="8"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 </w:t>
            </w:r>
          </w:p>
        </w:tc>
        <w:tc>
          <w:tcPr>
            <w:tcW w:w="960" w:type="dxa"/>
            <w:tcBorders>
              <w:bottom w:val="single" w:sz="8" w:space="0" w:color="auto"/>
              <w:right w:val="single" w:sz="4" w:space="0" w:color="auto"/>
            </w:tcBorders>
            <w:shd w:val="clear" w:color="000000" w:fill="FF99CC"/>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MISIR KUMU (g)</w:t>
            </w:r>
          </w:p>
        </w:tc>
        <w:tc>
          <w:tcPr>
            <w:tcW w:w="1221" w:type="dxa"/>
            <w:tcBorders>
              <w:bottom w:val="single" w:sz="8" w:space="0" w:color="auto"/>
              <w:right w:val="single" w:sz="4" w:space="0" w:color="auto"/>
            </w:tcBorders>
            <w:shd w:val="clear" w:color="000000" w:fill="FF99CC"/>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KALSİNE TİNKAL (g)</w:t>
            </w:r>
          </w:p>
        </w:tc>
        <w:tc>
          <w:tcPr>
            <w:tcW w:w="960" w:type="dxa"/>
            <w:tcBorders>
              <w:bottom w:val="single" w:sz="8" w:space="0" w:color="auto"/>
              <w:right w:val="single" w:sz="4" w:space="0" w:color="auto"/>
            </w:tcBorders>
            <w:shd w:val="clear" w:color="000000" w:fill="FF99CC"/>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 xml:space="preserve">BORİK ASİT </w:t>
            </w:r>
          </w:p>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(g)</w:t>
            </w:r>
          </w:p>
        </w:tc>
        <w:tc>
          <w:tcPr>
            <w:tcW w:w="2000" w:type="dxa"/>
            <w:tcBorders>
              <w:bottom w:val="single" w:sz="8" w:space="0" w:color="auto"/>
              <w:right w:val="single" w:sz="4" w:space="0" w:color="auto"/>
            </w:tcBorders>
            <w:shd w:val="clear" w:color="000000" w:fill="FF99CC"/>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 xml:space="preserve">BORAKS PENTA HİDRAT </w:t>
            </w:r>
          </w:p>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(g)</w:t>
            </w:r>
          </w:p>
        </w:tc>
        <w:tc>
          <w:tcPr>
            <w:tcW w:w="960" w:type="dxa"/>
            <w:tcBorders>
              <w:bottom w:val="single" w:sz="8" w:space="0" w:color="auto"/>
              <w:right w:val="single" w:sz="8" w:space="0" w:color="auto"/>
            </w:tcBorders>
            <w:shd w:val="clear" w:color="000000" w:fill="FF99CC"/>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LİÇ ATIĞI (g)</w:t>
            </w:r>
          </w:p>
        </w:tc>
        <w:tc>
          <w:tcPr>
            <w:tcW w:w="1720" w:type="dxa"/>
            <w:tcBorders>
              <w:bottom w:val="single" w:sz="8" w:space="0" w:color="auto"/>
              <w:right w:val="single" w:sz="8" w:space="0" w:color="auto"/>
            </w:tcBorders>
            <w:shd w:val="clear" w:color="000000" w:fill="FFFF00"/>
            <w:vAlign w:val="center"/>
          </w:tcPr>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 xml:space="preserve">TOPLAM AĞIRLIK </w:t>
            </w:r>
          </w:p>
          <w:p w:rsidR="001F5FA8" w:rsidRPr="00D6441B" w:rsidRDefault="001F5FA8" w:rsidP="008D1314">
            <w:pPr>
              <w:spacing w:after="0" w:line="240" w:lineRule="auto"/>
              <w:jc w:val="both"/>
              <w:rPr>
                <w:rFonts w:ascii="Times New Roman" w:hAnsi="Times New Roman"/>
                <w:b/>
                <w:sz w:val="24"/>
                <w:szCs w:val="24"/>
                <w:lang w:eastAsia="tr-TR"/>
              </w:rPr>
            </w:pPr>
            <w:r w:rsidRPr="00D6441B">
              <w:rPr>
                <w:rFonts w:ascii="Times New Roman" w:hAnsi="Times New Roman"/>
                <w:b/>
                <w:sz w:val="24"/>
                <w:szCs w:val="24"/>
                <w:lang w:eastAsia="tr-TR"/>
              </w:rPr>
              <w:t>(g)</w:t>
            </w:r>
          </w:p>
        </w:tc>
      </w:tr>
      <w:tr w:rsidR="001F5FA8" w:rsidRPr="00D6441B" w:rsidTr="008D1314">
        <w:trPr>
          <w:trHeight w:val="300"/>
        </w:trPr>
        <w:tc>
          <w:tcPr>
            <w:tcW w:w="960" w:type="dxa"/>
            <w:tcBorders>
              <w:top w:val="single" w:sz="8" w:space="0" w:color="auto"/>
              <w:left w:val="single" w:sz="8" w:space="0" w:color="auto"/>
              <w:bottom w:val="single" w:sz="4" w:space="0" w:color="auto"/>
              <w:right w:val="single" w:sz="4"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b/>
                <w:bCs/>
                <w:sz w:val="24"/>
                <w:szCs w:val="24"/>
                <w:lang w:eastAsia="tr-TR"/>
              </w:rPr>
            </w:pPr>
            <w:r w:rsidRPr="00D6441B">
              <w:rPr>
                <w:rFonts w:ascii="Times New Roman" w:hAnsi="Times New Roman"/>
                <w:b/>
                <w:bCs/>
                <w:sz w:val="24"/>
                <w:szCs w:val="24"/>
                <w:lang w:eastAsia="tr-TR"/>
              </w:rPr>
              <w:t>BAL1</w:t>
            </w:r>
          </w:p>
        </w:tc>
        <w:tc>
          <w:tcPr>
            <w:tcW w:w="96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78,76</w:t>
            </w:r>
          </w:p>
        </w:tc>
        <w:tc>
          <w:tcPr>
            <w:tcW w:w="1221"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11,77</w:t>
            </w:r>
          </w:p>
        </w:tc>
        <w:tc>
          <w:tcPr>
            <w:tcW w:w="96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7,15</w:t>
            </w:r>
          </w:p>
        </w:tc>
        <w:tc>
          <w:tcPr>
            <w:tcW w:w="200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11,77</w:t>
            </w:r>
          </w:p>
        </w:tc>
        <w:tc>
          <w:tcPr>
            <w:tcW w:w="960" w:type="dxa"/>
            <w:tcBorders>
              <w:bottom w:val="single" w:sz="4" w:space="0" w:color="auto"/>
              <w:right w:val="single" w:sz="8"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0,55</w:t>
            </w:r>
          </w:p>
        </w:tc>
        <w:tc>
          <w:tcPr>
            <w:tcW w:w="1720" w:type="dxa"/>
            <w:tcBorders>
              <w:bottom w:val="single" w:sz="4" w:space="0" w:color="auto"/>
              <w:right w:val="single" w:sz="8"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110,00</w:t>
            </w:r>
          </w:p>
        </w:tc>
      </w:tr>
      <w:tr w:rsidR="001F5FA8" w:rsidRPr="00D6441B" w:rsidTr="008D1314">
        <w:trPr>
          <w:trHeight w:val="300"/>
        </w:trPr>
        <w:tc>
          <w:tcPr>
            <w:tcW w:w="960" w:type="dxa"/>
            <w:tcBorders>
              <w:left w:val="single" w:sz="8" w:space="0" w:color="auto"/>
              <w:bottom w:val="single" w:sz="4" w:space="0" w:color="auto"/>
              <w:right w:val="single" w:sz="4"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b/>
                <w:bCs/>
                <w:sz w:val="24"/>
                <w:szCs w:val="24"/>
                <w:lang w:eastAsia="tr-TR"/>
              </w:rPr>
            </w:pPr>
            <w:r w:rsidRPr="00D6441B">
              <w:rPr>
                <w:rFonts w:ascii="Times New Roman" w:hAnsi="Times New Roman"/>
                <w:b/>
                <w:bCs/>
                <w:sz w:val="24"/>
                <w:szCs w:val="24"/>
                <w:lang w:eastAsia="tr-TR"/>
              </w:rPr>
              <w:t>BAL2</w:t>
            </w:r>
          </w:p>
        </w:tc>
        <w:tc>
          <w:tcPr>
            <w:tcW w:w="96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78,49</w:t>
            </w:r>
          </w:p>
        </w:tc>
        <w:tc>
          <w:tcPr>
            <w:tcW w:w="1221"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11,77</w:t>
            </w:r>
          </w:p>
        </w:tc>
        <w:tc>
          <w:tcPr>
            <w:tcW w:w="96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7,15</w:t>
            </w:r>
          </w:p>
        </w:tc>
        <w:tc>
          <w:tcPr>
            <w:tcW w:w="200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11,77</w:t>
            </w:r>
          </w:p>
        </w:tc>
        <w:tc>
          <w:tcPr>
            <w:tcW w:w="960" w:type="dxa"/>
            <w:tcBorders>
              <w:bottom w:val="single" w:sz="4" w:space="0" w:color="auto"/>
              <w:right w:val="single" w:sz="8"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0,83</w:t>
            </w:r>
          </w:p>
        </w:tc>
        <w:tc>
          <w:tcPr>
            <w:tcW w:w="1720" w:type="dxa"/>
            <w:tcBorders>
              <w:bottom w:val="single" w:sz="4" w:space="0" w:color="auto"/>
              <w:right w:val="single" w:sz="8"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110,00</w:t>
            </w:r>
          </w:p>
        </w:tc>
      </w:tr>
      <w:tr w:rsidR="001F5FA8" w:rsidRPr="00D6441B" w:rsidTr="008D1314">
        <w:trPr>
          <w:trHeight w:val="300"/>
        </w:trPr>
        <w:tc>
          <w:tcPr>
            <w:tcW w:w="960" w:type="dxa"/>
            <w:tcBorders>
              <w:left w:val="single" w:sz="8" w:space="0" w:color="auto"/>
              <w:bottom w:val="single" w:sz="4" w:space="0" w:color="auto"/>
              <w:right w:val="single" w:sz="4"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b/>
                <w:bCs/>
                <w:sz w:val="24"/>
                <w:szCs w:val="24"/>
                <w:lang w:eastAsia="tr-TR"/>
              </w:rPr>
            </w:pPr>
            <w:r w:rsidRPr="00D6441B">
              <w:rPr>
                <w:rFonts w:ascii="Times New Roman" w:hAnsi="Times New Roman"/>
                <w:b/>
                <w:bCs/>
                <w:sz w:val="24"/>
                <w:szCs w:val="24"/>
                <w:lang w:eastAsia="tr-TR"/>
              </w:rPr>
              <w:t>BAL3</w:t>
            </w:r>
          </w:p>
        </w:tc>
        <w:tc>
          <w:tcPr>
            <w:tcW w:w="96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78,21</w:t>
            </w:r>
          </w:p>
        </w:tc>
        <w:tc>
          <w:tcPr>
            <w:tcW w:w="1221"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11,77</w:t>
            </w:r>
          </w:p>
        </w:tc>
        <w:tc>
          <w:tcPr>
            <w:tcW w:w="96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7,15</w:t>
            </w:r>
          </w:p>
        </w:tc>
        <w:tc>
          <w:tcPr>
            <w:tcW w:w="200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11,77</w:t>
            </w:r>
          </w:p>
        </w:tc>
        <w:tc>
          <w:tcPr>
            <w:tcW w:w="960" w:type="dxa"/>
            <w:tcBorders>
              <w:bottom w:val="single" w:sz="4" w:space="0" w:color="auto"/>
              <w:right w:val="single" w:sz="8"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1,10</w:t>
            </w:r>
          </w:p>
        </w:tc>
        <w:tc>
          <w:tcPr>
            <w:tcW w:w="1720" w:type="dxa"/>
            <w:tcBorders>
              <w:bottom w:val="single" w:sz="4" w:space="0" w:color="auto"/>
              <w:right w:val="single" w:sz="8"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110,00</w:t>
            </w:r>
          </w:p>
        </w:tc>
      </w:tr>
      <w:tr w:rsidR="001F5FA8" w:rsidRPr="00D6441B" w:rsidTr="008D1314">
        <w:trPr>
          <w:trHeight w:val="300"/>
        </w:trPr>
        <w:tc>
          <w:tcPr>
            <w:tcW w:w="960" w:type="dxa"/>
            <w:tcBorders>
              <w:left w:val="single" w:sz="8" w:space="0" w:color="auto"/>
              <w:bottom w:val="single" w:sz="4" w:space="0" w:color="auto"/>
              <w:right w:val="single" w:sz="4"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b/>
                <w:bCs/>
                <w:sz w:val="24"/>
                <w:szCs w:val="24"/>
                <w:lang w:eastAsia="tr-TR"/>
              </w:rPr>
            </w:pPr>
            <w:r w:rsidRPr="00D6441B">
              <w:rPr>
                <w:rFonts w:ascii="Times New Roman" w:hAnsi="Times New Roman"/>
                <w:b/>
                <w:bCs/>
                <w:sz w:val="24"/>
                <w:szCs w:val="24"/>
                <w:lang w:eastAsia="tr-TR"/>
              </w:rPr>
              <w:t>BAL4</w:t>
            </w:r>
          </w:p>
        </w:tc>
        <w:tc>
          <w:tcPr>
            <w:tcW w:w="96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77,94</w:t>
            </w:r>
          </w:p>
        </w:tc>
        <w:tc>
          <w:tcPr>
            <w:tcW w:w="1221"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11,77</w:t>
            </w:r>
          </w:p>
        </w:tc>
        <w:tc>
          <w:tcPr>
            <w:tcW w:w="96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7,15</w:t>
            </w:r>
          </w:p>
        </w:tc>
        <w:tc>
          <w:tcPr>
            <w:tcW w:w="200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11,77</w:t>
            </w:r>
          </w:p>
        </w:tc>
        <w:tc>
          <w:tcPr>
            <w:tcW w:w="960" w:type="dxa"/>
            <w:tcBorders>
              <w:bottom w:val="single" w:sz="4" w:space="0" w:color="auto"/>
              <w:right w:val="single" w:sz="8"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1,38</w:t>
            </w:r>
          </w:p>
        </w:tc>
        <w:tc>
          <w:tcPr>
            <w:tcW w:w="1720" w:type="dxa"/>
            <w:tcBorders>
              <w:bottom w:val="single" w:sz="4" w:space="0" w:color="auto"/>
              <w:right w:val="single" w:sz="8"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110,00</w:t>
            </w:r>
          </w:p>
        </w:tc>
      </w:tr>
      <w:tr w:rsidR="001F5FA8" w:rsidRPr="00D6441B" w:rsidTr="008D1314">
        <w:trPr>
          <w:trHeight w:val="300"/>
        </w:trPr>
        <w:tc>
          <w:tcPr>
            <w:tcW w:w="960" w:type="dxa"/>
            <w:tcBorders>
              <w:left w:val="single" w:sz="8" w:space="0" w:color="auto"/>
              <w:bottom w:val="single" w:sz="4" w:space="0" w:color="auto"/>
              <w:right w:val="single" w:sz="4"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b/>
                <w:bCs/>
                <w:sz w:val="24"/>
                <w:szCs w:val="24"/>
                <w:lang w:eastAsia="tr-TR"/>
              </w:rPr>
            </w:pPr>
            <w:r w:rsidRPr="00D6441B">
              <w:rPr>
                <w:rFonts w:ascii="Times New Roman" w:hAnsi="Times New Roman"/>
                <w:b/>
                <w:bCs/>
                <w:sz w:val="24"/>
                <w:szCs w:val="24"/>
                <w:lang w:eastAsia="tr-TR"/>
              </w:rPr>
              <w:t>BAL5</w:t>
            </w:r>
          </w:p>
        </w:tc>
        <w:tc>
          <w:tcPr>
            <w:tcW w:w="96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77,66</w:t>
            </w:r>
          </w:p>
        </w:tc>
        <w:tc>
          <w:tcPr>
            <w:tcW w:w="1221"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11,77</w:t>
            </w:r>
          </w:p>
        </w:tc>
        <w:tc>
          <w:tcPr>
            <w:tcW w:w="96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7,15</w:t>
            </w:r>
          </w:p>
        </w:tc>
        <w:tc>
          <w:tcPr>
            <w:tcW w:w="2000" w:type="dxa"/>
            <w:tcBorders>
              <w:bottom w:val="single" w:sz="4" w:space="0" w:color="auto"/>
              <w:right w:val="single" w:sz="4"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11,77</w:t>
            </w:r>
          </w:p>
        </w:tc>
        <w:tc>
          <w:tcPr>
            <w:tcW w:w="960" w:type="dxa"/>
            <w:tcBorders>
              <w:bottom w:val="single" w:sz="4" w:space="0" w:color="auto"/>
              <w:right w:val="single" w:sz="8" w:space="0" w:color="auto"/>
            </w:tcBorders>
            <w:shd w:val="clear" w:color="000000" w:fill="FF99CC"/>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1,65</w:t>
            </w:r>
          </w:p>
        </w:tc>
        <w:tc>
          <w:tcPr>
            <w:tcW w:w="1720" w:type="dxa"/>
            <w:tcBorders>
              <w:bottom w:val="single" w:sz="4" w:space="0" w:color="auto"/>
              <w:right w:val="single" w:sz="8"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110,00</w:t>
            </w:r>
          </w:p>
        </w:tc>
      </w:tr>
      <w:tr w:rsidR="001F5FA8" w:rsidRPr="00D6441B" w:rsidTr="008D1314">
        <w:trPr>
          <w:trHeight w:val="315"/>
        </w:trPr>
        <w:tc>
          <w:tcPr>
            <w:tcW w:w="960" w:type="dxa"/>
            <w:tcBorders>
              <w:left w:val="single" w:sz="8" w:space="0" w:color="auto"/>
              <w:bottom w:val="single" w:sz="8" w:space="0" w:color="auto"/>
              <w:right w:val="single" w:sz="4"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b/>
                <w:bCs/>
                <w:sz w:val="24"/>
                <w:szCs w:val="24"/>
                <w:lang w:eastAsia="tr-TR"/>
              </w:rPr>
            </w:pPr>
            <w:r w:rsidRPr="00D6441B">
              <w:rPr>
                <w:rFonts w:ascii="Times New Roman" w:hAnsi="Times New Roman"/>
                <w:b/>
                <w:bCs/>
                <w:sz w:val="24"/>
                <w:szCs w:val="24"/>
                <w:lang w:eastAsia="tr-TR"/>
              </w:rPr>
              <w:t>REF</w:t>
            </w:r>
            <w:r w:rsidRPr="00D6441B">
              <w:rPr>
                <w:rFonts w:ascii="Times New Roman" w:hAnsi="Times New Roman"/>
                <w:bCs/>
                <w:i/>
                <w:color w:val="000000"/>
                <w:sz w:val="24"/>
                <w:szCs w:val="24"/>
              </w:rPr>
              <w:t>(*)</w:t>
            </w:r>
          </w:p>
        </w:tc>
        <w:tc>
          <w:tcPr>
            <w:tcW w:w="6101" w:type="dxa"/>
            <w:gridSpan w:val="5"/>
            <w:tcBorders>
              <w:top w:val="single" w:sz="4" w:space="0" w:color="auto"/>
              <w:bottom w:val="single" w:sz="8" w:space="0" w:color="auto"/>
              <w:right w:val="single" w:sz="8" w:space="0" w:color="000000"/>
            </w:tcBorders>
            <w:shd w:val="clear" w:color="000000" w:fill="FF99CC"/>
            <w:noWrap/>
            <w:vAlign w:val="center"/>
          </w:tcPr>
          <w:p w:rsidR="001F5FA8" w:rsidRPr="00D6441B" w:rsidRDefault="001F5FA8" w:rsidP="008D1314">
            <w:pPr>
              <w:spacing w:after="0" w:line="240" w:lineRule="auto"/>
              <w:jc w:val="both"/>
              <w:rPr>
                <w:rFonts w:ascii="Times New Roman" w:hAnsi="Times New Roman"/>
                <w:b/>
                <w:i/>
                <w:sz w:val="24"/>
                <w:szCs w:val="24"/>
                <w:lang w:eastAsia="tr-TR"/>
              </w:rPr>
            </w:pPr>
            <w:r w:rsidRPr="00D6441B">
              <w:rPr>
                <w:rFonts w:ascii="Times New Roman" w:hAnsi="Times New Roman"/>
                <w:sz w:val="24"/>
                <w:szCs w:val="24"/>
                <w:lang w:eastAsia="tr-TR"/>
              </w:rPr>
              <w:t>Fabrikanın Üretim Yaptığı Bileşim</w:t>
            </w:r>
          </w:p>
        </w:tc>
        <w:tc>
          <w:tcPr>
            <w:tcW w:w="1720" w:type="dxa"/>
            <w:tcBorders>
              <w:bottom w:val="single" w:sz="8" w:space="0" w:color="auto"/>
              <w:right w:val="single" w:sz="8" w:space="0" w:color="auto"/>
            </w:tcBorders>
            <w:shd w:val="clear" w:color="000000" w:fill="FFFF00"/>
            <w:noWrap/>
            <w:vAlign w:val="bottom"/>
          </w:tcPr>
          <w:p w:rsidR="001F5FA8" w:rsidRPr="00D6441B" w:rsidRDefault="001F5FA8" w:rsidP="008D1314">
            <w:pPr>
              <w:spacing w:after="0" w:line="240" w:lineRule="auto"/>
              <w:jc w:val="both"/>
              <w:rPr>
                <w:rFonts w:ascii="Times New Roman" w:hAnsi="Times New Roman"/>
                <w:sz w:val="24"/>
                <w:szCs w:val="24"/>
                <w:lang w:eastAsia="tr-TR"/>
              </w:rPr>
            </w:pPr>
            <w:r w:rsidRPr="00D6441B">
              <w:rPr>
                <w:rFonts w:ascii="Times New Roman" w:hAnsi="Times New Roman"/>
                <w:sz w:val="24"/>
                <w:szCs w:val="24"/>
                <w:lang w:eastAsia="tr-TR"/>
              </w:rPr>
              <w:t>110,00</w:t>
            </w:r>
          </w:p>
        </w:tc>
      </w:tr>
    </w:tbl>
    <w:p w:rsidR="001F5FA8" w:rsidRPr="00D6441B" w:rsidRDefault="001F5FA8" w:rsidP="001F5FA8">
      <w:pPr>
        <w:autoSpaceDE w:val="0"/>
        <w:autoSpaceDN w:val="0"/>
        <w:adjustRightInd w:val="0"/>
        <w:spacing w:before="120" w:after="120" w:line="240" w:lineRule="auto"/>
        <w:jc w:val="both"/>
        <w:rPr>
          <w:rFonts w:ascii="Times New Roman" w:hAnsi="Times New Roman"/>
          <w:bCs/>
          <w:i/>
          <w:color w:val="000000"/>
          <w:sz w:val="24"/>
          <w:szCs w:val="24"/>
        </w:rPr>
      </w:pPr>
      <w:r w:rsidRPr="00D6441B">
        <w:rPr>
          <w:rFonts w:ascii="Times New Roman" w:hAnsi="Times New Roman"/>
          <w:bCs/>
          <w:i/>
          <w:color w:val="000000"/>
          <w:sz w:val="24"/>
          <w:szCs w:val="24"/>
        </w:rPr>
        <w:t>(*): Fabrikanın halen üretim yaptığı karışım</w:t>
      </w:r>
    </w:p>
    <w:p w:rsidR="00D72895" w:rsidRDefault="00D72895" w:rsidP="001F5FA8">
      <w:pPr>
        <w:pStyle w:val="ListParagraph"/>
        <w:spacing w:before="120" w:after="120"/>
        <w:ind w:left="0"/>
        <w:jc w:val="both"/>
        <w:sectPr w:rsidR="00D72895" w:rsidSect="00E230BE">
          <w:type w:val="continuous"/>
          <w:pgSz w:w="11906" w:h="16838"/>
          <w:pgMar w:top="1417" w:right="849" w:bottom="1417" w:left="1134" w:header="708" w:footer="340" w:gutter="0"/>
          <w:cols w:space="708"/>
          <w:docGrid w:linePitch="360"/>
        </w:sectPr>
      </w:pPr>
    </w:p>
    <w:p w:rsidR="001F5FA8" w:rsidRPr="00D6441B" w:rsidRDefault="001F5FA8" w:rsidP="001F5FA8">
      <w:pPr>
        <w:pStyle w:val="ListParagraph"/>
        <w:spacing w:before="120" w:after="120"/>
        <w:ind w:left="0"/>
        <w:jc w:val="both"/>
      </w:pPr>
    </w:p>
    <w:tbl>
      <w:tblPr>
        <w:tblW w:w="0" w:type="auto"/>
        <w:tblLook w:val="01E0" w:firstRow="1" w:lastRow="1" w:firstColumn="1" w:lastColumn="1" w:noHBand="0" w:noVBand="0"/>
      </w:tblPr>
      <w:tblGrid>
        <w:gridCol w:w="4606"/>
        <w:gridCol w:w="4606"/>
      </w:tblGrid>
      <w:tr w:rsidR="001F5FA8" w:rsidRPr="00D6441B" w:rsidTr="008D1314">
        <w:trPr>
          <w:trHeight w:val="3944"/>
        </w:trPr>
        <w:tc>
          <w:tcPr>
            <w:tcW w:w="4606" w:type="dxa"/>
          </w:tcPr>
          <w:p w:rsidR="001F5FA8" w:rsidRPr="00D6441B" w:rsidRDefault="001F5FA8" w:rsidP="008D1314">
            <w:pPr>
              <w:pStyle w:val="ListParagraph"/>
              <w:spacing w:before="120" w:after="120"/>
              <w:ind w:left="0"/>
              <w:jc w:val="both"/>
            </w:pPr>
            <w:r>
              <w:rPr>
                <w:noProof/>
                <w:lang w:val="en-AU" w:eastAsia="en-AU"/>
              </w:rPr>
              <w:drawing>
                <wp:anchor distT="0" distB="0" distL="114300" distR="114300" simplePos="0" relativeHeight="251663360" behindDoc="0" locked="0" layoutInCell="1" allowOverlap="1">
                  <wp:simplePos x="0" y="0"/>
                  <wp:positionH relativeFrom="column">
                    <wp:posOffset>-210820</wp:posOffset>
                  </wp:positionH>
                  <wp:positionV relativeFrom="paragraph">
                    <wp:posOffset>-549910</wp:posOffset>
                  </wp:positionV>
                  <wp:extent cx="2519680" cy="2372995"/>
                  <wp:effectExtent l="19050" t="0" r="0" b="0"/>
                  <wp:wrapSquare wrapText="bothSides"/>
                  <wp:docPr id="22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46" cstate="print"/>
                          <a:srcRect/>
                          <a:stretch>
                            <a:fillRect/>
                          </a:stretch>
                        </pic:blipFill>
                        <pic:spPr bwMode="auto">
                          <a:xfrm>
                            <a:off x="0" y="0"/>
                            <a:ext cx="2519680" cy="2372995"/>
                          </a:xfrm>
                          <a:prstGeom prst="rect">
                            <a:avLst/>
                          </a:prstGeom>
                          <a:noFill/>
                          <a:ln w="9525">
                            <a:noFill/>
                            <a:miter lim="800000"/>
                            <a:headEnd/>
                            <a:tailEnd/>
                          </a:ln>
                        </pic:spPr>
                      </pic:pic>
                    </a:graphicData>
                  </a:graphic>
                </wp:anchor>
              </w:drawing>
            </w:r>
          </w:p>
        </w:tc>
        <w:tc>
          <w:tcPr>
            <w:tcW w:w="4606" w:type="dxa"/>
          </w:tcPr>
          <w:p w:rsidR="001F5FA8" w:rsidRPr="00D6441B" w:rsidRDefault="001F5FA8" w:rsidP="008D1314">
            <w:pPr>
              <w:pStyle w:val="ListParagraph"/>
              <w:spacing w:before="120" w:after="120"/>
              <w:ind w:left="0"/>
              <w:jc w:val="both"/>
            </w:pPr>
            <w:r>
              <w:rPr>
                <w:noProof/>
                <w:lang w:val="en-AU" w:eastAsia="en-AU"/>
              </w:rPr>
              <w:drawing>
                <wp:anchor distT="0" distB="0" distL="114300" distR="114300" simplePos="0" relativeHeight="251664384" behindDoc="0" locked="0" layoutInCell="1" allowOverlap="1">
                  <wp:simplePos x="0" y="0"/>
                  <wp:positionH relativeFrom="column">
                    <wp:posOffset>80645</wp:posOffset>
                  </wp:positionH>
                  <wp:positionV relativeFrom="paragraph">
                    <wp:posOffset>-2371725</wp:posOffset>
                  </wp:positionV>
                  <wp:extent cx="2524125" cy="2371725"/>
                  <wp:effectExtent l="19050" t="0" r="9525" b="0"/>
                  <wp:wrapSquare wrapText="bothSides"/>
                  <wp:docPr id="22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47" cstate="print"/>
                          <a:srcRect/>
                          <a:stretch>
                            <a:fillRect/>
                          </a:stretch>
                        </pic:blipFill>
                        <pic:spPr bwMode="auto">
                          <a:xfrm>
                            <a:off x="0" y="0"/>
                            <a:ext cx="2524125" cy="2371725"/>
                          </a:xfrm>
                          <a:prstGeom prst="rect">
                            <a:avLst/>
                          </a:prstGeom>
                          <a:noFill/>
                          <a:ln w="9525">
                            <a:noFill/>
                            <a:miter lim="800000"/>
                            <a:headEnd/>
                            <a:tailEnd/>
                          </a:ln>
                        </pic:spPr>
                      </pic:pic>
                    </a:graphicData>
                  </a:graphic>
                </wp:anchor>
              </w:drawing>
            </w:r>
          </w:p>
        </w:tc>
      </w:tr>
      <w:tr w:rsidR="001F5FA8" w:rsidRPr="00D6441B" w:rsidTr="008D1314">
        <w:tc>
          <w:tcPr>
            <w:tcW w:w="4606" w:type="dxa"/>
          </w:tcPr>
          <w:p w:rsidR="001F5FA8" w:rsidRPr="00D6441B" w:rsidRDefault="001F5FA8" w:rsidP="008D1314">
            <w:pPr>
              <w:pStyle w:val="ListParagraph"/>
              <w:spacing w:before="120" w:after="120"/>
              <w:ind w:left="0"/>
              <w:jc w:val="both"/>
            </w:pPr>
            <w:r>
              <w:rPr>
                <w:noProof/>
                <w:lang w:val="en-AU" w:eastAsia="en-AU"/>
              </w:rPr>
              <w:drawing>
                <wp:anchor distT="0" distB="0" distL="114300" distR="114300" simplePos="0" relativeHeight="251665408" behindDoc="0" locked="0" layoutInCell="1" allowOverlap="1">
                  <wp:simplePos x="0" y="0"/>
                  <wp:positionH relativeFrom="column">
                    <wp:posOffset>-635</wp:posOffset>
                  </wp:positionH>
                  <wp:positionV relativeFrom="paragraph">
                    <wp:posOffset>-2393315</wp:posOffset>
                  </wp:positionV>
                  <wp:extent cx="2519680" cy="2375535"/>
                  <wp:effectExtent l="19050" t="0" r="0" b="0"/>
                  <wp:wrapSquare wrapText="bothSides"/>
                  <wp:docPr id="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48" cstate="print"/>
                          <a:srcRect/>
                          <a:stretch>
                            <a:fillRect/>
                          </a:stretch>
                        </pic:blipFill>
                        <pic:spPr bwMode="auto">
                          <a:xfrm>
                            <a:off x="0" y="0"/>
                            <a:ext cx="2519680" cy="2375535"/>
                          </a:xfrm>
                          <a:prstGeom prst="rect">
                            <a:avLst/>
                          </a:prstGeom>
                          <a:noFill/>
                          <a:ln w="9525">
                            <a:noFill/>
                            <a:miter lim="800000"/>
                            <a:headEnd/>
                            <a:tailEnd/>
                          </a:ln>
                        </pic:spPr>
                      </pic:pic>
                    </a:graphicData>
                  </a:graphic>
                </wp:anchor>
              </w:drawing>
            </w:r>
          </w:p>
        </w:tc>
        <w:tc>
          <w:tcPr>
            <w:tcW w:w="4606" w:type="dxa"/>
          </w:tcPr>
          <w:p w:rsidR="001F5FA8" w:rsidRPr="00D6441B" w:rsidRDefault="001F5FA8" w:rsidP="008D1314">
            <w:pPr>
              <w:pStyle w:val="ListParagraph"/>
              <w:spacing w:before="120" w:after="120"/>
              <w:ind w:left="0"/>
              <w:jc w:val="both"/>
            </w:pPr>
            <w:r>
              <w:rPr>
                <w:noProof/>
                <w:lang w:val="en-AU" w:eastAsia="en-AU"/>
              </w:rPr>
              <w:drawing>
                <wp:anchor distT="0" distB="0" distL="114300" distR="114300" simplePos="0" relativeHeight="251668480" behindDoc="0" locked="0" layoutInCell="1" allowOverlap="1">
                  <wp:simplePos x="0" y="0"/>
                  <wp:positionH relativeFrom="column">
                    <wp:posOffset>79375</wp:posOffset>
                  </wp:positionH>
                  <wp:positionV relativeFrom="paragraph">
                    <wp:posOffset>-2352675</wp:posOffset>
                  </wp:positionV>
                  <wp:extent cx="2519680" cy="2334895"/>
                  <wp:effectExtent l="19050" t="0" r="0" b="0"/>
                  <wp:wrapSquare wrapText="bothSides"/>
                  <wp:docPr id="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49" cstate="print"/>
                          <a:srcRect/>
                          <a:stretch>
                            <a:fillRect/>
                          </a:stretch>
                        </pic:blipFill>
                        <pic:spPr bwMode="auto">
                          <a:xfrm>
                            <a:off x="0" y="0"/>
                            <a:ext cx="2519680" cy="2334895"/>
                          </a:xfrm>
                          <a:prstGeom prst="rect">
                            <a:avLst/>
                          </a:prstGeom>
                          <a:noFill/>
                          <a:ln w="9525">
                            <a:noFill/>
                            <a:miter lim="800000"/>
                            <a:headEnd/>
                            <a:tailEnd/>
                          </a:ln>
                        </pic:spPr>
                      </pic:pic>
                    </a:graphicData>
                  </a:graphic>
                </wp:anchor>
              </w:drawing>
            </w:r>
          </w:p>
        </w:tc>
      </w:tr>
      <w:tr w:rsidR="001F5FA8" w:rsidRPr="00D6441B" w:rsidTr="008D1314">
        <w:tc>
          <w:tcPr>
            <w:tcW w:w="4606" w:type="dxa"/>
          </w:tcPr>
          <w:p w:rsidR="001F5FA8" w:rsidRPr="00D6441B" w:rsidRDefault="001F5FA8" w:rsidP="008D1314">
            <w:pPr>
              <w:pStyle w:val="ListParagraph"/>
              <w:spacing w:before="120" w:after="120"/>
              <w:ind w:left="0"/>
              <w:jc w:val="both"/>
            </w:pPr>
            <w:r>
              <w:rPr>
                <w:noProof/>
                <w:lang w:val="en-AU" w:eastAsia="en-AU"/>
              </w:rPr>
              <w:lastRenderedPageBreak/>
              <w:drawing>
                <wp:anchor distT="0" distB="0" distL="114300" distR="114300" simplePos="0" relativeHeight="251666432" behindDoc="0" locked="0" layoutInCell="1" allowOverlap="1">
                  <wp:simplePos x="0" y="0"/>
                  <wp:positionH relativeFrom="column">
                    <wp:posOffset>-4445</wp:posOffset>
                  </wp:positionH>
                  <wp:positionV relativeFrom="paragraph">
                    <wp:posOffset>-635</wp:posOffset>
                  </wp:positionV>
                  <wp:extent cx="2662555" cy="2247900"/>
                  <wp:effectExtent l="19050" t="0" r="4445" b="0"/>
                  <wp:wrapSquare wrapText="bothSides"/>
                  <wp:docPr id="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50" cstate="print"/>
                          <a:srcRect/>
                          <a:stretch>
                            <a:fillRect/>
                          </a:stretch>
                        </pic:blipFill>
                        <pic:spPr bwMode="auto">
                          <a:xfrm>
                            <a:off x="0" y="0"/>
                            <a:ext cx="2662555" cy="2247900"/>
                          </a:xfrm>
                          <a:prstGeom prst="rect">
                            <a:avLst/>
                          </a:prstGeom>
                          <a:noFill/>
                          <a:ln w="9525">
                            <a:noFill/>
                            <a:miter lim="800000"/>
                            <a:headEnd/>
                            <a:tailEnd/>
                          </a:ln>
                        </pic:spPr>
                      </pic:pic>
                    </a:graphicData>
                  </a:graphic>
                </wp:anchor>
              </w:drawing>
            </w:r>
          </w:p>
        </w:tc>
        <w:tc>
          <w:tcPr>
            <w:tcW w:w="4606" w:type="dxa"/>
          </w:tcPr>
          <w:p w:rsidR="001F5FA8" w:rsidRPr="00D6441B" w:rsidRDefault="001F5FA8" w:rsidP="008D1314">
            <w:pPr>
              <w:pStyle w:val="ListParagraph"/>
              <w:spacing w:before="120" w:after="120"/>
              <w:ind w:left="0"/>
              <w:jc w:val="both"/>
            </w:pPr>
            <w:r>
              <w:rPr>
                <w:noProof/>
                <w:lang w:val="en-AU" w:eastAsia="en-AU"/>
              </w:rPr>
              <w:drawing>
                <wp:anchor distT="0" distB="0" distL="114300" distR="114300" simplePos="0" relativeHeight="251667456" behindDoc="0" locked="0" layoutInCell="1" allowOverlap="1">
                  <wp:simplePos x="0" y="0"/>
                  <wp:positionH relativeFrom="column">
                    <wp:posOffset>13970</wp:posOffset>
                  </wp:positionH>
                  <wp:positionV relativeFrom="paragraph">
                    <wp:posOffset>-635</wp:posOffset>
                  </wp:positionV>
                  <wp:extent cx="2686050" cy="2295525"/>
                  <wp:effectExtent l="19050" t="0" r="0" b="0"/>
                  <wp:wrapSquare wrapText="bothSides"/>
                  <wp:docPr id="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51" cstate="print"/>
                          <a:srcRect/>
                          <a:stretch>
                            <a:fillRect/>
                          </a:stretch>
                        </pic:blipFill>
                        <pic:spPr bwMode="auto">
                          <a:xfrm>
                            <a:off x="0" y="0"/>
                            <a:ext cx="2686050" cy="2295525"/>
                          </a:xfrm>
                          <a:prstGeom prst="rect">
                            <a:avLst/>
                          </a:prstGeom>
                          <a:noFill/>
                          <a:ln w="9525">
                            <a:noFill/>
                            <a:miter lim="800000"/>
                            <a:headEnd/>
                            <a:tailEnd/>
                          </a:ln>
                        </pic:spPr>
                      </pic:pic>
                    </a:graphicData>
                  </a:graphic>
                </wp:anchor>
              </w:drawing>
            </w:r>
          </w:p>
        </w:tc>
      </w:tr>
    </w:tbl>
    <w:p w:rsidR="001F5FA8" w:rsidRPr="00D6441B" w:rsidRDefault="001F5FA8" w:rsidP="001F5FA8">
      <w:pPr>
        <w:pStyle w:val="ListParagraph"/>
        <w:spacing w:before="120" w:after="120"/>
        <w:ind w:left="0"/>
        <w:jc w:val="both"/>
      </w:pPr>
    </w:p>
    <w:p w:rsidR="001F5FA8" w:rsidRPr="00D6441B" w:rsidRDefault="001F5FA8" w:rsidP="001F5FA8">
      <w:pPr>
        <w:pStyle w:val="ListParagraph"/>
        <w:spacing w:before="120" w:after="120"/>
        <w:ind w:left="0"/>
        <w:jc w:val="both"/>
      </w:pPr>
    </w:p>
    <w:tbl>
      <w:tblPr>
        <w:tblW w:w="0" w:type="auto"/>
        <w:jc w:val="center"/>
        <w:tblLook w:val="01E0" w:firstRow="1" w:lastRow="1" w:firstColumn="1" w:lastColumn="1" w:noHBand="0" w:noVBand="0"/>
      </w:tblPr>
      <w:tblGrid>
        <w:gridCol w:w="9212"/>
      </w:tblGrid>
      <w:tr w:rsidR="001F5FA8" w:rsidRPr="00D6441B" w:rsidTr="008D1314">
        <w:trPr>
          <w:jc w:val="center"/>
        </w:trPr>
        <w:tc>
          <w:tcPr>
            <w:tcW w:w="9212" w:type="dxa"/>
          </w:tcPr>
          <w:p w:rsidR="001F5FA8" w:rsidRPr="00D6441B" w:rsidRDefault="001F5FA8" w:rsidP="008D1314">
            <w:pPr>
              <w:spacing w:before="120" w:after="120" w:line="240" w:lineRule="auto"/>
              <w:contextualSpacing/>
              <w:jc w:val="both"/>
              <w:rPr>
                <w:rFonts w:ascii="Times New Roman" w:hAnsi="Times New Roman"/>
                <w:b/>
                <w:color w:val="FF0000"/>
                <w:sz w:val="24"/>
                <w:szCs w:val="24"/>
                <w:u w:val="single"/>
              </w:rPr>
            </w:pPr>
            <w:r>
              <w:rPr>
                <w:rFonts w:ascii="Times New Roman" w:hAnsi="Times New Roman"/>
                <w:noProof/>
                <w:sz w:val="24"/>
                <w:szCs w:val="24"/>
                <w:lang w:val="en-AU" w:eastAsia="en-AU"/>
              </w:rPr>
              <w:drawing>
                <wp:anchor distT="0" distB="0" distL="114300" distR="114300" simplePos="0" relativeHeight="251669504" behindDoc="0" locked="0" layoutInCell="1" allowOverlap="1">
                  <wp:simplePos x="0" y="0"/>
                  <wp:positionH relativeFrom="column">
                    <wp:posOffset>1715770</wp:posOffset>
                  </wp:positionH>
                  <wp:positionV relativeFrom="paragraph">
                    <wp:posOffset>33655</wp:posOffset>
                  </wp:positionV>
                  <wp:extent cx="2457450" cy="2057400"/>
                  <wp:effectExtent l="19050" t="0" r="0" b="0"/>
                  <wp:wrapSquare wrapText="bothSides"/>
                  <wp:docPr id="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52" cstate="print"/>
                          <a:srcRect/>
                          <a:stretch>
                            <a:fillRect/>
                          </a:stretch>
                        </pic:blipFill>
                        <pic:spPr bwMode="auto">
                          <a:xfrm>
                            <a:off x="0" y="0"/>
                            <a:ext cx="2457450" cy="2057400"/>
                          </a:xfrm>
                          <a:prstGeom prst="rect">
                            <a:avLst/>
                          </a:prstGeom>
                          <a:noFill/>
                          <a:ln w="9525">
                            <a:noFill/>
                            <a:miter lim="800000"/>
                            <a:headEnd/>
                            <a:tailEnd/>
                          </a:ln>
                        </pic:spPr>
                      </pic:pic>
                    </a:graphicData>
                  </a:graphic>
                </wp:anchor>
              </w:drawing>
            </w:r>
          </w:p>
        </w:tc>
      </w:tr>
    </w:tbl>
    <w:p w:rsidR="001F5FA8" w:rsidRPr="00D6441B" w:rsidRDefault="001F5FA8" w:rsidP="001F5FA8">
      <w:pPr>
        <w:autoSpaceDE w:val="0"/>
        <w:autoSpaceDN w:val="0"/>
        <w:adjustRightInd w:val="0"/>
        <w:spacing w:before="120" w:after="120" w:line="240" w:lineRule="auto"/>
        <w:jc w:val="center"/>
        <w:rPr>
          <w:rFonts w:ascii="Times New Roman" w:hAnsi="Times New Roman"/>
          <w:bCs/>
          <w:color w:val="000000"/>
          <w:sz w:val="24"/>
          <w:szCs w:val="24"/>
        </w:rPr>
      </w:pPr>
      <w:r w:rsidRPr="00D6441B">
        <w:rPr>
          <w:rFonts w:ascii="Times New Roman" w:hAnsi="Times New Roman"/>
          <w:b/>
          <w:bCs/>
          <w:color w:val="000000"/>
          <w:sz w:val="24"/>
          <w:szCs w:val="24"/>
        </w:rPr>
        <w:t>Şekil 4.</w:t>
      </w:r>
      <w:r w:rsidRPr="00D6441B">
        <w:rPr>
          <w:rFonts w:ascii="Times New Roman" w:hAnsi="Times New Roman"/>
          <w:bCs/>
          <w:color w:val="000000"/>
          <w:sz w:val="24"/>
          <w:szCs w:val="24"/>
        </w:rPr>
        <w:t xml:space="preserve"> Eritişleri yapılan camlar ve referans cam</w:t>
      </w:r>
    </w:p>
    <w:p w:rsidR="00D72895" w:rsidRDefault="00D72895" w:rsidP="001F5FA8">
      <w:pPr>
        <w:spacing w:before="120" w:after="120" w:line="240" w:lineRule="auto"/>
        <w:jc w:val="both"/>
        <w:rPr>
          <w:rFonts w:ascii="Times New Roman" w:hAnsi="Times New Roman"/>
          <w:sz w:val="24"/>
          <w:szCs w:val="24"/>
        </w:rPr>
        <w:sectPr w:rsidR="00D72895" w:rsidSect="00E230BE">
          <w:type w:val="continuous"/>
          <w:pgSz w:w="11906" w:h="16838"/>
          <w:pgMar w:top="1417" w:right="849" w:bottom="1417" w:left="1134" w:header="708" w:footer="340" w:gutter="0"/>
          <w:cols w:space="708"/>
          <w:docGrid w:linePitch="360"/>
        </w:sectPr>
      </w:pPr>
    </w:p>
    <w:p w:rsidR="00D72895" w:rsidRDefault="00D72895" w:rsidP="00D72895">
      <w:pPr>
        <w:pStyle w:val="ListParagraph"/>
        <w:spacing w:before="120" w:after="120"/>
        <w:ind w:left="0"/>
        <w:jc w:val="both"/>
      </w:pPr>
    </w:p>
    <w:p w:rsidR="00D72895" w:rsidRDefault="00D72895" w:rsidP="00D72895">
      <w:pPr>
        <w:pStyle w:val="ListParagraph"/>
        <w:spacing w:before="120" w:after="120"/>
        <w:ind w:left="0"/>
        <w:jc w:val="both"/>
      </w:pPr>
      <w:r w:rsidRPr="00D6441B">
        <w:t xml:space="preserve">Üretilen borosilikat bor camlar şekil 4’te görülmektedir. Cam renklerinin az da olsa birbirinden farklı olduğu görülmüştür. </w:t>
      </w:r>
    </w:p>
    <w:p w:rsidR="00D72895" w:rsidRPr="00D6441B" w:rsidRDefault="00D72895" w:rsidP="00D72895">
      <w:pPr>
        <w:pStyle w:val="ListParagraph"/>
        <w:spacing w:before="120" w:after="120"/>
        <w:ind w:left="0"/>
        <w:jc w:val="both"/>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5. TARTIŞMA VE SONUÇ</w:t>
      </w:r>
    </w:p>
    <w:p w:rsidR="001F5FA8" w:rsidRPr="00D6441B" w:rsidRDefault="001F5FA8" w:rsidP="001F5FA8">
      <w:pPr>
        <w:autoSpaceDE w:val="0"/>
        <w:autoSpaceDN w:val="0"/>
        <w:adjustRightInd w:val="0"/>
        <w:spacing w:before="120" w:after="120" w:line="240" w:lineRule="auto"/>
        <w:jc w:val="both"/>
        <w:rPr>
          <w:rFonts w:ascii="Times New Roman" w:hAnsi="Times New Roman"/>
          <w:color w:val="000000"/>
          <w:sz w:val="24"/>
          <w:szCs w:val="24"/>
        </w:rPr>
      </w:pPr>
    </w:p>
    <w:p w:rsidR="00D72895" w:rsidRDefault="001F5FA8" w:rsidP="001F5FA8">
      <w:pPr>
        <w:autoSpaceDE w:val="0"/>
        <w:autoSpaceDN w:val="0"/>
        <w:adjustRightInd w:val="0"/>
        <w:spacing w:before="120" w:after="120" w:line="240" w:lineRule="auto"/>
        <w:jc w:val="both"/>
        <w:rPr>
          <w:rFonts w:ascii="Times New Roman" w:hAnsi="Times New Roman"/>
          <w:color w:val="000000"/>
          <w:sz w:val="24"/>
          <w:szCs w:val="24"/>
        </w:rPr>
      </w:pPr>
      <w:r w:rsidRPr="00D6441B">
        <w:rPr>
          <w:rFonts w:ascii="Times New Roman" w:hAnsi="Times New Roman"/>
          <w:color w:val="000000"/>
          <w:sz w:val="24"/>
          <w:szCs w:val="24"/>
        </w:rPr>
        <w:t xml:space="preserve">Yapılan çalışma sonucunda, altın üretimi yapan tesislerin liç atıklarından, özel amaçlı renkli cam üretiminin mümkün olduğu görülmüştür. Atık içerisine, farklı katkı metal ilavesiyle (Cr, Mn veya bunların indirgen ve yükseltgen formları) bu renkliliğin daha da arttırılabileceği mümkün gözükmektedir. Çalışmayla, renkli camın yanı sıra fabrikanın kullandığı borik asit yerine (borik asit, kalsine tinkal ve boraks </w:t>
      </w:r>
    </w:p>
    <w:p w:rsidR="00D72895" w:rsidRDefault="00D72895" w:rsidP="001F5FA8">
      <w:pPr>
        <w:autoSpaceDE w:val="0"/>
        <w:autoSpaceDN w:val="0"/>
        <w:adjustRightInd w:val="0"/>
        <w:spacing w:before="120" w:after="120" w:line="240" w:lineRule="auto"/>
        <w:jc w:val="both"/>
        <w:rPr>
          <w:rFonts w:ascii="Times New Roman" w:hAnsi="Times New Roman"/>
          <w:color w:val="000000"/>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color w:val="000000"/>
          <w:sz w:val="24"/>
          <w:szCs w:val="24"/>
        </w:rPr>
        <w:t xml:space="preserve">pentahidrat kombinasyonunun da kullanılabileceği ortaya konmuştur.  </w:t>
      </w: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İlave edilen liç atığı içerisindeki metal bileşenler, renk değişimi üzerinde büyük bir etkiye sahip olduğu görülmüştür.  Analizlere bakıldığında, bileşimler arasında bir miktar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farkı olmakla birlikte temelde büyük farklar görülmemiştir (Tablo 4).  Referanstaki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%sinin fazla olması, başlangıçtaki miktarın fazla olmasından kaynaklanmıştır. Her ne kadar ağırlıkça bor türevleri miktarı aynı olsa da, kalsine tinkal %52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ve boraks pentahidrat 47,76 %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içerirken borik asit % 56,25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içermektedir. O nedenle de üretilen yeni camlarda,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 xml:space="preserve">3 </w:t>
      </w:r>
      <w:r w:rsidRPr="00D6441B">
        <w:rPr>
          <w:rFonts w:ascii="Times New Roman" w:hAnsi="Times New Roman"/>
          <w:sz w:val="24"/>
          <w:szCs w:val="24"/>
        </w:rPr>
        <w:t>miktarı yaklaşık %2 daha az gözükmektedir (Tablo 4).</w:t>
      </w:r>
    </w:p>
    <w:p w:rsidR="001F5FA8" w:rsidRPr="00D6441B" w:rsidRDefault="001F5FA8" w:rsidP="001F5FA8">
      <w:pPr>
        <w:autoSpaceDE w:val="0"/>
        <w:autoSpaceDN w:val="0"/>
        <w:adjustRightInd w:val="0"/>
        <w:spacing w:before="120" w:after="120" w:line="240" w:lineRule="auto"/>
        <w:jc w:val="both"/>
        <w:rPr>
          <w:rFonts w:ascii="Times New Roman" w:hAnsi="Times New Roman"/>
          <w:b/>
          <w:bCs/>
          <w:i/>
          <w:color w:val="000000"/>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b/>
          <w:bCs/>
          <w:i/>
          <w:color w:val="000000"/>
          <w:sz w:val="24"/>
          <w:szCs w:val="24"/>
        </w:rPr>
        <w:sectPr w:rsidR="00D72895" w:rsidSect="00E230BE">
          <w:type w:val="continuous"/>
          <w:pgSz w:w="11906" w:h="16838"/>
          <w:pgMar w:top="1417" w:right="849" w:bottom="1417" w:left="1134" w:header="708" w:footer="340" w:gutter="0"/>
          <w:cols w:num="2" w:space="708"/>
          <w:docGrid w:linePitch="360"/>
        </w:sectPr>
      </w:pPr>
    </w:p>
    <w:p w:rsidR="001F5FA8" w:rsidRPr="00D6441B" w:rsidRDefault="001F5FA8" w:rsidP="001F5FA8">
      <w:pPr>
        <w:autoSpaceDE w:val="0"/>
        <w:autoSpaceDN w:val="0"/>
        <w:adjustRightInd w:val="0"/>
        <w:spacing w:before="120" w:after="120" w:line="240" w:lineRule="auto"/>
        <w:jc w:val="both"/>
        <w:rPr>
          <w:rFonts w:ascii="Times New Roman" w:hAnsi="Times New Roman"/>
          <w:bCs/>
          <w:i/>
          <w:color w:val="000000"/>
          <w:sz w:val="24"/>
          <w:szCs w:val="24"/>
        </w:rPr>
      </w:pPr>
      <w:r w:rsidRPr="00D6441B">
        <w:rPr>
          <w:rFonts w:ascii="Times New Roman" w:hAnsi="Times New Roman"/>
          <w:b/>
          <w:bCs/>
          <w:i/>
          <w:color w:val="000000"/>
          <w:sz w:val="24"/>
          <w:szCs w:val="24"/>
        </w:rPr>
        <w:lastRenderedPageBreak/>
        <w:t>Tablo 4.</w:t>
      </w:r>
      <w:r w:rsidRPr="00D6441B">
        <w:rPr>
          <w:rFonts w:ascii="Times New Roman" w:hAnsi="Times New Roman"/>
          <w:bCs/>
          <w:i/>
          <w:color w:val="000000"/>
          <w:sz w:val="24"/>
          <w:szCs w:val="24"/>
        </w:rPr>
        <w:t>Borosilikat camların</w:t>
      </w:r>
      <w:r w:rsidRPr="00D6441B">
        <w:rPr>
          <w:rFonts w:ascii="Times New Roman" w:hAnsi="Times New Roman"/>
          <w:sz w:val="24"/>
          <w:szCs w:val="24"/>
        </w:rPr>
        <w:t xml:space="preserve"> </w:t>
      </w:r>
      <w:r w:rsidRPr="00D6441B">
        <w:rPr>
          <w:rFonts w:ascii="Times New Roman" w:hAnsi="Times New Roman"/>
          <w:bCs/>
          <w:i/>
          <w:color w:val="000000"/>
          <w:sz w:val="24"/>
          <w:szCs w:val="24"/>
        </w:rPr>
        <w:t xml:space="preserve">analiz sonuçları </w:t>
      </w:r>
    </w:p>
    <w:tbl>
      <w:tblPr>
        <w:tblW w:w="9301" w:type="dxa"/>
        <w:tblBorders>
          <w:top w:val="single" w:sz="12" w:space="0" w:color="008000"/>
          <w:bottom w:val="single" w:sz="12" w:space="0" w:color="008000"/>
        </w:tblBorders>
        <w:tblLook w:val="01E0" w:firstRow="1" w:lastRow="1" w:firstColumn="1" w:lastColumn="1" w:noHBand="0" w:noVBand="0"/>
      </w:tblPr>
      <w:tblGrid>
        <w:gridCol w:w="2128"/>
        <w:gridCol w:w="783"/>
        <w:gridCol w:w="822"/>
        <w:gridCol w:w="822"/>
        <w:gridCol w:w="787"/>
        <w:gridCol w:w="778"/>
        <w:gridCol w:w="801"/>
        <w:gridCol w:w="809"/>
        <w:gridCol w:w="775"/>
        <w:gridCol w:w="796"/>
      </w:tblGrid>
      <w:tr w:rsidR="001F5FA8" w:rsidRPr="00D6441B" w:rsidTr="008D1314">
        <w:trPr>
          <w:trHeight w:val="618"/>
        </w:trPr>
        <w:tc>
          <w:tcPr>
            <w:tcW w:w="2128" w:type="dxa"/>
            <w:tcBorders>
              <w:top w:val="single" w:sz="12" w:space="0" w:color="008000"/>
              <w:bottom w:val="single" w:sz="6"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Bileşenler</w:t>
            </w:r>
          </w:p>
        </w:tc>
        <w:tc>
          <w:tcPr>
            <w:tcW w:w="783" w:type="dxa"/>
            <w:tcBorders>
              <w:top w:val="single" w:sz="12" w:space="0" w:color="008000"/>
              <w:bottom w:val="single" w:sz="6" w:space="0" w:color="008000"/>
            </w:tcBorders>
            <w:vAlign w:val="center"/>
          </w:tcPr>
          <w:p w:rsidR="001F5FA8" w:rsidRPr="00D6441B" w:rsidRDefault="001F5FA8" w:rsidP="008D1314">
            <w:pPr>
              <w:spacing w:after="0" w:line="240" w:lineRule="auto"/>
              <w:jc w:val="both"/>
              <w:rPr>
                <w:rFonts w:ascii="Times New Roman" w:hAnsi="Times New Roman"/>
                <w:b/>
                <w:sz w:val="24"/>
                <w:szCs w:val="24"/>
                <w:vertAlign w:val="subscript"/>
              </w:rPr>
            </w:pPr>
            <w:r w:rsidRPr="00D6441B">
              <w:rPr>
                <w:rFonts w:ascii="Times New Roman" w:hAnsi="Times New Roman"/>
                <w:b/>
                <w:sz w:val="24"/>
                <w:szCs w:val="24"/>
              </w:rPr>
              <w:t>SiO</w:t>
            </w:r>
            <w:r w:rsidRPr="00D6441B">
              <w:rPr>
                <w:rFonts w:ascii="Times New Roman" w:hAnsi="Times New Roman"/>
                <w:b/>
                <w:sz w:val="24"/>
                <w:szCs w:val="24"/>
                <w:vertAlign w:val="subscript"/>
              </w:rPr>
              <w:t>2</w:t>
            </w:r>
          </w:p>
        </w:tc>
        <w:tc>
          <w:tcPr>
            <w:tcW w:w="822" w:type="dxa"/>
            <w:tcBorders>
              <w:top w:val="single" w:sz="12" w:space="0" w:color="008000"/>
              <w:bottom w:val="single" w:sz="6" w:space="0" w:color="008000"/>
            </w:tcBorders>
            <w:vAlign w:val="center"/>
          </w:tcPr>
          <w:p w:rsidR="001F5FA8" w:rsidRPr="00D6441B" w:rsidRDefault="001F5FA8" w:rsidP="008D1314">
            <w:pPr>
              <w:spacing w:after="0" w:line="240" w:lineRule="auto"/>
              <w:jc w:val="both"/>
              <w:rPr>
                <w:rFonts w:ascii="Times New Roman" w:hAnsi="Times New Roman"/>
                <w:b/>
                <w:sz w:val="24"/>
                <w:szCs w:val="24"/>
                <w:vertAlign w:val="subscript"/>
              </w:rPr>
            </w:pPr>
            <w:r w:rsidRPr="00D6441B">
              <w:rPr>
                <w:rFonts w:ascii="Times New Roman" w:hAnsi="Times New Roman"/>
                <w:b/>
                <w:sz w:val="24"/>
                <w:szCs w:val="24"/>
              </w:rPr>
              <w:t>Al</w:t>
            </w:r>
            <w:r w:rsidRPr="00D6441B">
              <w:rPr>
                <w:rFonts w:ascii="Times New Roman" w:hAnsi="Times New Roman"/>
                <w:b/>
                <w:sz w:val="24"/>
                <w:szCs w:val="24"/>
                <w:vertAlign w:val="subscript"/>
              </w:rPr>
              <w:t>2</w:t>
            </w:r>
            <w:r w:rsidRPr="00D6441B">
              <w:rPr>
                <w:rFonts w:ascii="Times New Roman" w:hAnsi="Times New Roman"/>
                <w:b/>
                <w:sz w:val="24"/>
                <w:szCs w:val="24"/>
              </w:rPr>
              <w:t>O</w:t>
            </w:r>
            <w:r w:rsidRPr="00D6441B">
              <w:rPr>
                <w:rFonts w:ascii="Times New Roman" w:hAnsi="Times New Roman"/>
                <w:b/>
                <w:sz w:val="24"/>
                <w:szCs w:val="24"/>
                <w:vertAlign w:val="subscript"/>
              </w:rPr>
              <w:t>3</w:t>
            </w:r>
          </w:p>
        </w:tc>
        <w:tc>
          <w:tcPr>
            <w:tcW w:w="822" w:type="dxa"/>
            <w:tcBorders>
              <w:top w:val="single" w:sz="12" w:space="0" w:color="008000"/>
              <w:bottom w:val="single" w:sz="6" w:space="0" w:color="008000"/>
            </w:tcBorders>
            <w:vAlign w:val="center"/>
          </w:tcPr>
          <w:p w:rsidR="001F5FA8" w:rsidRPr="00D6441B" w:rsidRDefault="001F5FA8" w:rsidP="008D1314">
            <w:pPr>
              <w:spacing w:after="0" w:line="240" w:lineRule="auto"/>
              <w:jc w:val="both"/>
              <w:rPr>
                <w:rFonts w:ascii="Times New Roman" w:hAnsi="Times New Roman"/>
                <w:b/>
                <w:sz w:val="24"/>
                <w:szCs w:val="24"/>
                <w:vertAlign w:val="subscript"/>
              </w:rPr>
            </w:pPr>
            <w:r w:rsidRPr="00D6441B">
              <w:rPr>
                <w:rFonts w:ascii="Times New Roman" w:hAnsi="Times New Roman"/>
                <w:b/>
                <w:sz w:val="24"/>
                <w:szCs w:val="24"/>
              </w:rPr>
              <w:t>Fe</w:t>
            </w:r>
            <w:r w:rsidRPr="00D6441B">
              <w:rPr>
                <w:rFonts w:ascii="Times New Roman" w:hAnsi="Times New Roman"/>
                <w:b/>
                <w:sz w:val="24"/>
                <w:szCs w:val="24"/>
                <w:vertAlign w:val="subscript"/>
              </w:rPr>
              <w:t>2</w:t>
            </w:r>
            <w:r w:rsidRPr="00D6441B">
              <w:rPr>
                <w:rFonts w:ascii="Times New Roman" w:hAnsi="Times New Roman"/>
                <w:b/>
                <w:sz w:val="24"/>
                <w:szCs w:val="24"/>
              </w:rPr>
              <w:t>O</w:t>
            </w:r>
            <w:r w:rsidRPr="00D6441B">
              <w:rPr>
                <w:rFonts w:ascii="Times New Roman" w:hAnsi="Times New Roman"/>
                <w:b/>
                <w:sz w:val="24"/>
                <w:szCs w:val="24"/>
                <w:vertAlign w:val="subscript"/>
              </w:rPr>
              <w:t>3</w:t>
            </w:r>
          </w:p>
        </w:tc>
        <w:tc>
          <w:tcPr>
            <w:tcW w:w="787" w:type="dxa"/>
            <w:tcBorders>
              <w:top w:val="single" w:sz="12" w:space="0" w:color="008000"/>
              <w:bottom w:val="single" w:sz="6" w:space="0" w:color="008000"/>
            </w:tcBorders>
            <w:vAlign w:val="center"/>
          </w:tcPr>
          <w:p w:rsidR="001F5FA8" w:rsidRPr="00D6441B" w:rsidRDefault="001F5FA8" w:rsidP="008D1314">
            <w:pPr>
              <w:spacing w:after="0" w:line="240" w:lineRule="auto"/>
              <w:jc w:val="both"/>
              <w:rPr>
                <w:rFonts w:ascii="Times New Roman" w:hAnsi="Times New Roman"/>
                <w:b/>
                <w:sz w:val="24"/>
                <w:szCs w:val="24"/>
                <w:vertAlign w:val="subscript"/>
              </w:rPr>
            </w:pPr>
            <w:r w:rsidRPr="00D6441B">
              <w:rPr>
                <w:rFonts w:ascii="Times New Roman" w:hAnsi="Times New Roman"/>
                <w:b/>
                <w:sz w:val="24"/>
                <w:szCs w:val="24"/>
              </w:rPr>
              <w:t>TiO</w:t>
            </w:r>
            <w:r w:rsidRPr="00D6441B">
              <w:rPr>
                <w:rFonts w:ascii="Times New Roman" w:hAnsi="Times New Roman"/>
                <w:b/>
                <w:sz w:val="24"/>
                <w:szCs w:val="24"/>
                <w:vertAlign w:val="subscript"/>
              </w:rPr>
              <w:t>2</w:t>
            </w:r>
          </w:p>
        </w:tc>
        <w:tc>
          <w:tcPr>
            <w:tcW w:w="778" w:type="dxa"/>
            <w:tcBorders>
              <w:top w:val="single" w:sz="12" w:space="0" w:color="008000"/>
              <w:bottom w:val="single" w:sz="6"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CaO</w:t>
            </w:r>
          </w:p>
        </w:tc>
        <w:tc>
          <w:tcPr>
            <w:tcW w:w="801" w:type="dxa"/>
            <w:tcBorders>
              <w:top w:val="single" w:sz="12" w:space="0" w:color="008000"/>
              <w:bottom w:val="single" w:sz="6"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MgO</w:t>
            </w:r>
          </w:p>
        </w:tc>
        <w:tc>
          <w:tcPr>
            <w:tcW w:w="809" w:type="dxa"/>
            <w:tcBorders>
              <w:top w:val="single" w:sz="12" w:space="0" w:color="008000"/>
              <w:bottom w:val="single" w:sz="6"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Na</w:t>
            </w:r>
            <w:r w:rsidRPr="00D6441B">
              <w:rPr>
                <w:rFonts w:ascii="Times New Roman" w:hAnsi="Times New Roman"/>
                <w:b/>
                <w:sz w:val="24"/>
                <w:szCs w:val="24"/>
                <w:vertAlign w:val="subscript"/>
              </w:rPr>
              <w:t>2</w:t>
            </w:r>
            <w:r w:rsidRPr="00D6441B">
              <w:rPr>
                <w:rFonts w:ascii="Times New Roman" w:hAnsi="Times New Roman"/>
                <w:b/>
                <w:sz w:val="24"/>
                <w:szCs w:val="24"/>
              </w:rPr>
              <w:t>O</w:t>
            </w:r>
          </w:p>
        </w:tc>
        <w:tc>
          <w:tcPr>
            <w:tcW w:w="775" w:type="dxa"/>
            <w:tcBorders>
              <w:top w:val="single" w:sz="12" w:space="0" w:color="008000"/>
              <w:bottom w:val="single" w:sz="6"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K</w:t>
            </w:r>
            <w:r w:rsidRPr="00D6441B">
              <w:rPr>
                <w:rFonts w:ascii="Times New Roman" w:hAnsi="Times New Roman"/>
                <w:b/>
                <w:sz w:val="24"/>
                <w:szCs w:val="24"/>
                <w:vertAlign w:val="subscript"/>
              </w:rPr>
              <w:t>2</w:t>
            </w:r>
            <w:r w:rsidRPr="00D6441B">
              <w:rPr>
                <w:rFonts w:ascii="Times New Roman" w:hAnsi="Times New Roman"/>
                <w:b/>
                <w:sz w:val="24"/>
                <w:szCs w:val="24"/>
              </w:rPr>
              <w:t>O</w:t>
            </w:r>
          </w:p>
        </w:tc>
        <w:tc>
          <w:tcPr>
            <w:tcW w:w="796" w:type="dxa"/>
            <w:tcBorders>
              <w:top w:val="single" w:sz="12" w:space="0" w:color="008000"/>
              <w:bottom w:val="single" w:sz="6" w:space="0" w:color="008000"/>
            </w:tcBorders>
            <w:vAlign w:val="center"/>
          </w:tcPr>
          <w:p w:rsidR="001F5FA8" w:rsidRPr="00D6441B" w:rsidRDefault="001F5FA8" w:rsidP="008D1314">
            <w:pPr>
              <w:spacing w:after="0" w:line="240" w:lineRule="auto"/>
              <w:jc w:val="both"/>
              <w:rPr>
                <w:rFonts w:ascii="Times New Roman" w:hAnsi="Times New Roman"/>
                <w:b/>
                <w:sz w:val="24"/>
                <w:szCs w:val="24"/>
                <w:vertAlign w:val="subscript"/>
              </w:rPr>
            </w:pPr>
            <w:r w:rsidRPr="00D6441B">
              <w:rPr>
                <w:rFonts w:ascii="Times New Roman" w:hAnsi="Times New Roman"/>
                <w:b/>
                <w:sz w:val="24"/>
                <w:szCs w:val="24"/>
              </w:rPr>
              <w:t>B</w:t>
            </w:r>
            <w:r w:rsidRPr="00D6441B">
              <w:rPr>
                <w:rFonts w:ascii="Times New Roman" w:hAnsi="Times New Roman"/>
                <w:b/>
                <w:sz w:val="24"/>
                <w:szCs w:val="24"/>
                <w:vertAlign w:val="subscript"/>
              </w:rPr>
              <w:t>2</w:t>
            </w:r>
            <w:r w:rsidRPr="00D6441B">
              <w:rPr>
                <w:rFonts w:ascii="Times New Roman" w:hAnsi="Times New Roman"/>
                <w:b/>
                <w:sz w:val="24"/>
                <w:szCs w:val="24"/>
              </w:rPr>
              <w:t>O</w:t>
            </w:r>
            <w:r w:rsidRPr="00D6441B">
              <w:rPr>
                <w:rFonts w:ascii="Times New Roman" w:hAnsi="Times New Roman"/>
                <w:b/>
                <w:sz w:val="24"/>
                <w:szCs w:val="24"/>
                <w:vertAlign w:val="subscript"/>
              </w:rPr>
              <w:t>3</w:t>
            </w:r>
          </w:p>
        </w:tc>
      </w:tr>
      <w:tr w:rsidR="001F5FA8" w:rsidRPr="00D6441B" w:rsidTr="008D1314">
        <w:trPr>
          <w:trHeight w:val="293"/>
        </w:trPr>
        <w:tc>
          <w:tcPr>
            <w:tcW w:w="2128" w:type="dxa"/>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BORCAM NO-1</w:t>
            </w:r>
          </w:p>
        </w:tc>
        <w:tc>
          <w:tcPr>
            <w:tcW w:w="783"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82.29</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1.25</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0.162</w:t>
            </w:r>
          </w:p>
        </w:tc>
        <w:tc>
          <w:tcPr>
            <w:tcW w:w="787"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0.035</w:t>
            </w:r>
          </w:p>
        </w:tc>
        <w:tc>
          <w:tcPr>
            <w:tcW w:w="778"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0.20</w:t>
            </w:r>
          </w:p>
        </w:tc>
        <w:tc>
          <w:tcPr>
            <w:tcW w:w="801"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0.20</w:t>
            </w:r>
          </w:p>
        </w:tc>
        <w:tc>
          <w:tcPr>
            <w:tcW w:w="809"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4.15</w:t>
            </w:r>
          </w:p>
        </w:tc>
        <w:tc>
          <w:tcPr>
            <w:tcW w:w="775"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0.33</w:t>
            </w:r>
          </w:p>
        </w:tc>
        <w:tc>
          <w:tcPr>
            <w:tcW w:w="796"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11.38</w:t>
            </w:r>
          </w:p>
        </w:tc>
      </w:tr>
      <w:tr w:rsidR="001F5FA8" w:rsidRPr="00D6441B" w:rsidTr="008D1314">
        <w:tc>
          <w:tcPr>
            <w:tcW w:w="2128" w:type="dxa"/>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BORCAM NO-2</w:t>
            </w:r>
          </w:p>
        </w:tc>
        <w:tc>
          <w:tcPr>
            <w:tcW w:w="783"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81.78</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1.69</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0.214</w:t>
            </w:r>
          </w:p>
        </w:tc>
        <w:tc>
          <w:tcPr>
            <w:tcW w:w="787"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0.038</w:t>
            </w:r>
          </w:p>
        </w:tc>
        <w:tc>
          <w:tcPr>
            <w:tcW w:w="778"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0.20</w:t>
            </w:r>
          </w:p>
        </w:tc>
        <w:tc>
          <w:tcPr>
            <w:tcW w:w="801"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0.19</w:t>
            </w:r>
          </w:p>
        </w:tc>
        <w:tc>
          <w:tcPr>
            <w:tcW w:w="809"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4.28</w:t>
            </w:r>
          </w:p>
        </w:tc>
        <w:tc>
          <w:tcPr>
            <w:tcW w:w="775"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0.32</w:t>
            </w:r>
          </w:p>
        </w:tc>
        <w:tc>
          <w:tcPr>
            <w:tcW w:w="796"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11.29</w:t>
            </w:r>
          </w:p>
        </w:tc>
      </w:tr>
      <w:tr w:rsidR="001F5FA8" w:rsidRPr="00D6441B" w:rsidTr="008D1314">
        <w:tc>
          <w:tcPr>
            <w:tcW w:w="2128" w:type="dxa"/>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BORCAM NO-3</w:t>
            </w:r>
          </w:p>
        </w:tc>
        <w:tc>
          <w:tcPr>
            <w:tcW w:w="783"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81.95</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1.65</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0.268</w:t>
            </w:r>
          </w:p>
        </w:tc>
        <w:tc>
          <w:tcPr>
            <w:tcW w:w="787"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0.039</w:t>
            </w:r>
          </w:p>
        </w:tc>
        <w:tc>
          <w:tcPr>
            <w:tcW w:w="778"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0.20</w:t>
            </w:r>
          </w:p>
        </w:tc>
        <w:tc>
          <w:tcPr>
            <w:tcW w:w="801"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0.20</w:t>
            </w:r>
          </w:p>
        </w:tc>
        <w:tc>
          <w:tcPr>
            <w:tcW w:w="809"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4.22</w:t>
            </w:r>
          </w:p>
        </w:tc>
        <w:tc>
          <w:tcPr>
            <w:tcW w:w="775"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0.33</w:t>
            </w:r>
          </w:p>
        </w:tc>
        <w:tc>
          <w:tcPr>
            <w:tcW w:w="796"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11.14</w:t>
            </w:r>
          </w:p>
        </w:tc>
      </w:tr>
      <w:tr w:rsidR="001F5FA8" w:rsidRPr="00D6441B" w:rsidTr="008D1314">
        <w:tc>
          <w:tcPr>
            <w:tcW w:w="2128" w:type="dxa"/>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BORCAM NO-4</w:t>
            </w:r>
          </w:p>
        </w:tc>
        <w:tc>
          <w:tcPr>
            <w:tcW w:w="783"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81.26</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0.66</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0.278</w:t>
            </w:r>
          </w:p>
        </w:tc>
        <w:tc>
          <w:tcPr>
            <w:tcW w:w="787"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0.029</w:t>
            </w:r>
          </w:p>
        </w:tc>
        <w:tc>
          <w:tcPr>
            <w:tcW w:w="778"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0.22</w:t>
            </w:r>
          </w:p>
        </w:tc>
        <w:tc>
          <w:tcPr>
            <w:tcW w:w="801"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0.20</w:t>
            </w:r>
          </w:p>
        </w:tc>
        <w:tc>
          <w:tcPr>
            <w:tcW w:w="809"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4.62</w:t>
            </w:r>
          </w:p>
        </w:tc>
        <w:tc>
          <w:tcPr>
            <w:tcW w:w="775"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0.21</w:t>
            </w:r>
          </w:p>
        </w:tc>
        <w:tc>
          <w:tcPr>
            <w:tcW w:w="796"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12.53</w:t>
            </w:r>
          </w:p>
        </w:tc>
      </w:tr>
      <w:tr w:rsidR="001F5FA8" w:rsidRPr="00D6441B" w:rsidTr="008D1314">
        <w:tc>
          <w:tcPr>
            <w:tcW w:w="2128" w:type="dxa"/>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BORCAM NO-5</w:t>
            </w:r>
          </w:p>
        </w:tc>
        <w:tc>
          <w:tcPr>
            <w:tcW w:w="783"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81.15</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1.06</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0.340</w:t>
            </w:r>
          </w:p>
        </w:tc>
        <w:tc>
          <w:tcPr>
            <w:tcW w:w="787"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0.034</w:t>
            </w:r>
          </w:p>
        </w:tc>
        <w:tc>
          <w:tcPr>
            <w:tcW w:w="778"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0.22</w:t>
            </w:r>
          </w:p>
        </w:tc>
        <w:tc>
          <w:tcPr>
            <w:tcW w:w="801"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0.20</w:t>
            </w:r>
          </w:p>
        </w:tc>
        <w:tc>
          <w:tcPr>
            <w:tcW w:w="809"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4.60</w:t>
            </w:r>
          </w:p>
        </w:tc>
        <w:tc>
          <w:tcPr>
            <w:tcW w:w="775"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0.27</w:t>
            </w:r>
          </w:p>
        </w:tc>
        <w:tc>
          <w:tcPr>
            <w:tcW w:w="796"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12.14</w:t>
            </w:r>
          </w:p>
        </w:tc>
      </w:tr>
      <w:tr w:rsidR="001F5FA8" w:rsidRPr="00D6441B" w:rsidTr="008D1314">
        <w:trPr>
          <w:trHeight w:val="275"/>
        </w:trPr>
        <w:tc>
          <w:tcPr>
            <w:tcW w:w="2128" w:type="dxa"/>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BORCAM NO-6</w:t>
            </w:r>
          </w:p>
        </w:tc>
        <w:tc>
          <w:tcPr>
            <w:tcW w:w="783"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80.95</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1.52</w:t>
            </w:r>
          </w:p>
        </w:tc>
        <w:tc>
          <w:tcPr>
            <w:tcW w:w="822"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0.393</w:t>
            </w:r>
          </w:p>
        </w:tc>
        <w:tc>
          <w:tcPr>
            <w:tcW w:w="787"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0.040</w:t>
            </w:r>
          </w:p>
        </w:tc>
        <w:tc>
          <w:tcPr>
            <w:tcW w:w="778"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0.22</w:t>
            </w:r>
          </w:p>
        </w:tc>
        <w:tc>
          <w:tcPr>
            <w:tcW w:w="801"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0.21</w:t>
            </w:r>
          </w:p>
        </w:tc>
        <w:tc>
          <w:tcPr>
            <w:tcW w:w="809"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4.63</w:t>
            </w:r>
          </w:p>
        </w:tc>
        <w:tc>
          <w:tcPr>
            <w:tcW w:w="775"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0.33</w:t>
            </w:r>
          </w:p>
        </w:tc>
        <w:tc>
          <w:tcPr>
            <w:tcW w:w="796" w:type="dxa"/>
            <w:vAlign w:val="center"/>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11.71</w:t>
            </w:r>
          </w:p>
        </w:tc>
      </w:tr>
      <w:tr w:rsidR="001F5FA8" w:rsidRPr="00D6441B" w:rsidTr="008D1314">
        <w:trPr>
          <w:trHeight w:val="271"/>
        </w:trPr>
        <w:tc>
          <w:tcPr>
            <w:tcW w:w="2128" w:type="dxa"/>
            <w:tcBorders>
              <w:top w:val="single" w:sz="6" w:space="0" w:color="008000"/>
              <w:bottom w:val="single" w:sz="12"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REFERANS</w:t>
            </w:r>
          </w:p>
        </w:tc>
        <w:tc>
          <w:tcPr>
            <w:tcW w:w="783" w:type="dxa"/>
            <w:tcBorders>
              <w:top w:val="single" w:sz="6" w:space="0" w:color="008000"/>
              <w:bottom w:val="single" w:sz="12"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79.23</w:t>
            </w:r>
          </w:p>
        </w:tc>
        <w:tc>
          <w:tcPr>
            <w:tcW w:w="822" w:type="dxa"/>
            <w:tcBorders>
              <w:top w:val="single" w:sz="6" w:space="0" w:color="008000"/>
              <w:bottom w:val="single" w:sz="12"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2.64</w:t>
            </w:r>
          </w:p>
        </w:tc>
        <w:tc>
          <w:tcPr>
            <w:tcW w:w="822" w:type="dxa"/>
            <w:tcBorders>
              <w:top w:val="single" w:sz="6" w:space="0" w:color="008000"/>
              <w:bottom w:val="single" w:sz="12"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0.023</w:t>
            </w:r>
          </w:p>
        </w:tc>
        <w:tc>
          <w:tcPr>
            <w:tcW w:w="787" w:type="dxa"/>
            <w:tcBorders>
              <w:top w:val="single" w:sz="6" w:space="0" w:color="008000"/>
              <w:bottom w:val="single" w:sz="12"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0.027</w:t>
            </w:r>
          </w:p>
        </w:tc>
        <w:tc>
          <w:tcPr>
            <w:tcW w:w="778" w:type="dxa"/>
            <w:tcBorders>
              <w:top w:val="single" w:sz="6" w:space="0" w:color="008000"/>
              <w:bottom w:val="single" w:sz="12"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0.03</w:t>
            </w:r>
          </w:p>
        </w:tc>
        <w:tc>
          <w:tcPr>
            <w:tcW w:w="801" w:type="dxa"/>
            <w:tcBorders>
              <w:top w:val="single" w:sz="6" w:space="0" w:color="008000"/>
              <w:bottom w:val="single" w:sz="12"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0.02</w:t>
            </w:r>
          </w:p>
        </w:tc>
        <w:tc>
          <w:tcPr>
            <w:tcW w:w="809" w:type="dxa"/>
            <w:tcBorders>
              <w:top w:val="single" w:sz="6" w:space="0" w:color="008000"/>
              <w:bottom w:val="single" w:sz="12"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4.63</w:t>
            </w:r>
          </w:p>
        </w:tc>
        <w:tc>
          <w:tcPr>
            <w:tcW w:w="775" w:type="dxa"/>
            <w:tcBorders>
              <w:top w:val="single" w:sz="6" w:space="0" w:color="008000"/>
              <w:bottom w:val="single" w:sz="12"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0.02</w:t>
            </w:r>
          </w:p>
        </w:tc>
        <w:tc>
          <w:tcPr>
            <w:tcW w:w="796" w:type="dxa"/>
            <w:tcBorders>
              <w:top w:val="single" w:sz="6" w:space="0" w:color="008000"/>
              <w:bottom w:val="single" w:sz="12" w:space="0" w:color="008000"/>
            </w:tcBorders>
            <w:vAlign w:val="center"/>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13.38</w:t>
            </w:r>
          </w:p>
        </w:tc>
      </w:tr>
    </w:tbl>
    <w:p w:rsidR="00D72895" w:rsidRDefault="00D72895" w:rsidP="001F5FA8">
      <w:pPr>
        <w:autoSpaceDE w:val="0"/>
        <w:autoSpaceDN w:val="0"/>
        <w:adjustRightInd w:val="0"/>
        <w:spacing w:before="120" w:after="120" w:line="240" w:lineRule="auto"/>
        <w:jc w:val="both"/>
        <w:rPr>
          <w:rFonts w:ascii="Times New Roman" w:hAnsi="Times New Roman"/>
          <w:sz w:val="24"/>
          <w:szCs w:val="24"/>
        </w:rPr>
        <w:sectPr w:rsidR="00D72895" w:rsidSect="00D72895">
          <w:type w:val="continuous"/>
          <w:pgSz w:w="11906" w:h="16838"/>
          <w:pgMar w:top="1417" w:right="849" w:bottom="1417" w:left="1134" w:header="708" w:footer="708" w:gutter="0"/>
          <w:cols w:space="708"/>
          <w:docGrid w:linePitch="360"/>
        </w:sect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p>
    <w:p w:rsidR="00D72895"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ün tersine, % Fe</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oranlarının referans cama nazaran daha yüksek olduğu görülmektedir. Bu oranın yüksek olması kullanılan liç atığı içerisindeki metallerin var olmasıyla ilişkilendirilmiştir. Fe</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deki farklar % 0.130-0.350 aralığında olmakla birlikte Fe</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için bu farklar oldukça büyüktür. Ve camda renklenmeye sebep olur. 3 nolu eritiş camı ve borcama bakıldığında da bu durum netlikle görülmektedir. Fe</w:t>
      </w:r>
      <w:r w:rsidRPr="00D6441B">
        <w:rPr>
          <w:rFonts w:ascii="Times New Roman" w:hAnsi="Times New Roman"/>
          <w:sz w:val="24"/>
          <w:szCs w:val="24"/>
          <w:vertAlign w:val="superscript"/>
        </w:rPr>
        <w:t>+3</w:t>
      </w:r>
      <w:r w:rsidRPr="00D6441B">
        <w:rPr>
          <w:rFonts w:ascii="Times New Roman" w:hAnsi="Times New Roman"/>
          <w:sz w:val="24"/>
          <w:szCs w:val="24"/>
        </w:rPr>
        <w:t xml:space="preserve"> 380-400 nm de </w:t>
      </w: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1F5FA8" w:rsidRPr="00D6441B" w:rsidRDefault="00D72895" w:rsidP="001F5FA8">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noProof/>
          <w:sz w:val="24"/>
          <w:szCs w:val="24"/>
          <w:lang w:val="en-AU" w:eastAsia="en-AU"/>
        </w:rPr>
        <w:drawing>
          <wp:anchor distT="0" distB="0" distL="114300" distR="114300" simplePos="0" relativeHeight="251671552" behindDoc="1" locked="0" layoutInCell="1" allowOverlap="1">
            <wp:simplePos x="0" y="0"/>
            <wp:positionH relativeFrom="margin">
              <wp:posOffset>451485</wp:posOffset>
            </wp:positionH>
            <wp:positionV relativeFrom="paragraph">
              <wp:posOffset>-389890</wp:posOffset>
            </wp:positionV>
            <wp:extent cx="5524500" cy="3905250"/>
            <wp:effectExtent l="19050" t="0" r="0" b="0"/>
            <wp:wrapTight wrapText="bothSides">
              <wp:wrapPolygon edited="0">
                <wp:start x="-74" y="0"/>
                <wp:lineTo x="-74" y="21495"/>
                <wp:lineTo x="21600" y="21495"/>
                <wp:lineTo x="21600" y="0"/>
                <wp:lineTo x="-74" y="0"/>
              </wp:wrapPolygon>
            </wp:wrapTight>
            <wp:docPr id="1" name="13 Resim" descr="bor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Resim" descr="borcam.jpg"/>
                    <pic:cNvPicPr>
                      <a:picLocks noChangeAspect="1" noChangeArrowheads="1"/>
                    </pic:cNvPicPr>
                  </pic:nvPicPr>
                  <pic:blipFill>
                    <a:blip r:embed="rId53" cstate="print"/>
                    <a:srcRect/>
                    <a:stretch>
                      <a:fillRect/>
                    </a:stretch>
                  </pic:blipFill>
                  <pic:spPr bwMode="auto">
                    <a:xfrm>
                      <a:off x="0" y="0"/>
                      <a:ext cx="5524500" cy="3905250"/>
                    </a:xfrm>
                    <a:prstGeom prst="rect">
                      <a:avLst/>
                    </a:prstGeom>
                    <a:noFill/>
                    <a:ln w="9525">
                      <a:noFill/>
                      <a:miter lim="800000"/>
                      <a:headEnd/>
                      <a:tailEnd/>
                    </a:ln>
                  </pic:spPr>
                </pic:pic>
              </a:graphicData>
            </a:graphic>
          </wp:anchor>
        </w:drawing>
      </w:r>
      <w:r w:rsidR="001F5FA8" w:rsidRPr="00D6441B">
        <w:rPr>
          <w:rFonts w:ascii="Times New Roman" w:hAnsi="Times New Roman"/>
          <w:sz w:val="24"/>
          <w:szCs w:val="24"/>
        </w:rPr>
        <w:t>(mor-mavi) absorbsiyon verirken, Fe</w:t>
      </w:r>
      <w:r w:rsidR="001F5FA8" w:rsidRPr="00D6441B">
        <w:rPr>
          <w:rFonts w:ascii="Times New Roman" w:hAnsi="Times New Roman"/>
          <w:sz w:val="24"/>
          <w:szCs w:val="24"/>
          <w:vertAlign w:val="superscript"/>
        </w:rPr>
        <w:t>+2</w:t>
      </w:r>
      <w:r w:rsidR="001F5FA8" w:rsidRPr="00D6441B">
        <w:rPr>
          <w:rFonts w:ascii="Times New Roman" w:hAnsi="Times New Roman"/>
          <w:sz w:val="24"/>
          <w:szCs w:val="24"/>
        </w:rPr>
        <w:t xml:space="preserve"> 1050 nm de daha geniş (kırmızının sonu) bir absorbsiyon vermektedir. Bunlar neticesinde spektrumda görünür bölgede daha çok yeşil, sarı turuncu bölgelerin geçirildiği görülmektedir. Sarı bölge, 570-590 nm, yeşil bölge ise 500-570 nm ve turuncu 590-610 nm aralığında gözlenmektedir. Bu camda da maksimum geçirgenlik 550-630 arasında olduğundan cam göze kirli sarımsı bir renk olarak gözükmektedir (Şekil 5).</w:t>
      </w:r>
    </w:p>
    <w:p w:rsidR="00D72895" w:rsidRDefault="00D72895" w:rsidP="001F5FA8">
      <w:pPr>
        <w:autoSpaceDE w:val="0"/>
        <w:autoSpaceDN w:val="0"/>
        <w:adjustRightInd w:val="0"/>
        <w:spacing w:before="120" w:after="120" w:line="240" w:lineRule="auto"/>
        <w:jc w:val="center"/>
        <w:rPr>
          <w:rFonts w:ascii="Times New Roman" w:hAnsi="Times New Roman"/>
          <w:b/>
          <w:bCs/>
          <w:color w:val="000000"/>
          <w:sz w:val="24"/>
          <w:szCs w:val="24"/>
        </w:rPr>
        <w:sectPr w:rsidR="00D72895" w:rsidSect="006959C4">
          <w:type w:val="continuous"/>
          <w:pgSz w:w="11906" w:h="16838"/>
          <w:pgMar w:top="1417" w:right="849" w:bottom="1417" w:left="1134" w:header="708" w:footer="708" w:gutter="0"/>
          <w:cols w:num="2" w:space="708"/>
          <w:docGrid w:linePitch="360"/>
        </w:sect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Pr="00D6441B"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sectPr w:rsidR="00D72895" w:rsidSect="00D72895">
          <w:type w:val="continuous"/>
          <w:pgSz w:w="11906" w:h="16838"/>
          <w:pgMar w:top="1417" w:right="849" w:bottom="1417" w:left="1134" w:header="708" w:footer="708" w:gutter="0"/>
          <w:cols w:space="708"/>
          <w:docGrid w:linePitch="360"/>
        </w:sect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1F5FA8">
      <w:pPr>
        <w:autoSpaceDE w:val="0"/>
        <w:autoSpaceDN w:val="0"/>
        <w:adjustRightInd w:val="0"/>
        <w:spacing w:before="120" w:after="120" w:line="240" w:lineRule="auto"/>
        <w:jc w:val="both"/>
        <w:rPr>
          <w:rFonts w:ascii="Times New Roman" w:hAnsi="Times New Roman"/>
          <w:sz w:val="24"/>
          <w:szCs w:val="24"/>
        </w:rPr>
      </w:pPr>
    </w:p>
    <w:p w:rsidR="00D72895" w:rsidRDefault="00D72895" w:rsidP="00D72895">
      <w:pPr>
        <w:autoSpaceDE w:val="0"/>
        <w:autoSpaceDN w:val="0"/>
        <w:adjustRightInd w:val="0"/>
        <w:spacing w:before="120" w:after="120" w:line="240" w:lineRule="auto"/>
        <w:rPr>
          <w:rFonts w:ascii="Times New Roman" w:hAnsi="Times New Roman"/>
          <w:b/>
          <w:bCs/>
          <w:color w:val="000000"/>
          <w:sz w:val="24"/>
          <w:szCs w:val="24"/>
        </w:rPr>
      </w:pPr>
    </w:p>
    <w:p w:rsidR="00D72895" w:rsidRDefault="00D72895" w:rsidP="00D72895">
      <w:pPr>
        <w:autoSpaceDE w:val="0"/>
        <w:autoSpaceDN w:val="0"/>
        <w:adjustRightInd w:val="0"/>
        <w:spacing w:before="120" w:after="120" w:line="240" w:lineRule="auto"/>
        <w:rPr>
          <w:rFonts w:ascii="Times New Roman" w:hAnsi="Times New Roman"/>
          <w:b/>
          <w:bCs/>
          <w:color w:val="000000"/>
          <w:sz w:val="24"/>
          <w:szCs w:val="24"/>
        </w:rPr>
      </w:pPr>
    </w:p>
    <w:p w:rsidR="00D72895" w:rsidRPr="00D6441B" w:rsidRDefault="00D72895" w:rsidP="00D72895">
      <w:pPr>
        <w:autoSpaceDE w:val="0"/>
        <w:autoSpaceDN w:val="0"/>
        <w:adjustRightInd w:val="0"/>
        <w:spacing w:before="120" w:after="120" w:line="240" w:lineRule="auto"/>
        <w:jc w:val="center"/>
        <w:rPr>
          <w:rFonts w:ascii="Times New Roman" w:hAnsi="Times New Roman"/>
          <w:bCs/>
          <w:color w:val="000000"/>
          <w:sz w:val="24"/>
          <w:szCs w:val="24"/>
        </w:rPr>
      </w:pPr>
      <w:r w:rsidRPr="00D6441B">
        <w:rPr>
          <w:rFonts w:ascii="Times New Roman" w:hAnsi="Times New Roman"/>
          <w:b/>
          <w:bCs/>
          <w:color w:val="000000"/>
          <w:sz w:val="24"/>
          <w:szCs w:val="24"/>
        </w:rPr>
        <w:t>Şekil 5.</w:t>
      </w:r>
      <w:r w:rsidRPr="00D6441B">
        <w:rPr>
          <w:rFonts w:ascii="Times New Roman" w:hAnsi="Times New Roman"/>
          <w:bCs/>
          <w:color w:val="000000"/>
          <w:sz w:val="24"/>
          <w:szCs w:val="24"/>
        </w:rPr>
        <w:t xml:space="preserve"> Ergitiş numunelerinin 300-1200 nm arası % geçirgenlik değişimi</w:t>
      </w:r>
    </w:p>
    <w:p w:rsidR="00FB192F" w:rsidRDefault="00FB192F" w:rsidP="001F5FA8">
      <w:pPr>
        <w:autoSpaceDE w:val="0"/>
        <w:autoSpaceDN w:val="0"/>
        <w:adjustRightInd w:val="0"/>
        <w:spacing w:before="120" w:after="120" w:line="240" w:lineRule="auto"/>
        <w:jc w:val="both"/>
        <w:rPr>
          <w:rFonts w:ascii="Times New Roman" w:hAnsi="Times New Roman"/>
          <w:sz w:val="24"/>
          <w:szCs w:val="24"/>
        </w:rPr>
        <w:sectPr w:rsidR="00FB192F" w:rsidSect="00D72895">
          <w:type w:val="continuous"/>
          <w:pgSz w:w="11906" w:h="16838"/>
          <w:pgMar w:top="1417" w:right="849" w:bottom="1417" w:left="1134" w:header="708" w:footer="708" w:gutter="0"/>
          <w:cols w:space="708"/>
          <w:docGrid w:linePitch="360"/>
        </w:sect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lastRenderedPageBreak/>
        <w:t>Altın işletmesindeki cevhere ait mineralojik ve petrografik bulgular temin edilerek incelenmiştir. Bulgularda, silis içerisinde Fe, Pb ve Zn gibi metal bileşiklerine rastlanılmıştır. İşletme tarafından yapılmış olan İnce ve parlak kesit mikroskop çalışmalarında, cevher içinde en yaygın gözlenen sülfür minerali piritin (FeS</w:t>
      </w:r>
      <w:r w:rsidRPr="00D6441B">
        <w:rPr>
          <w:rFonts w:ascii="Times New Roman" w:hAnsi="Times New Roman"/>
          <w:sz w:val="24"/>
          <w:szCs w:val="24"/>
          <w:vertAlign w:val="subscript"/>
        </w:rPr>
        <w:t>2</w:t>
      </w:r>
      <w:r w:rsidRPr="00D6441B">
        <w:rPr>
          <w:rFonts w:ascii="Times New Roman" w:hAnsi="Times New Roman"/>
          <w:sz w:val="24"/>
          <w:szCs w:val="24"/>
        </w:rPr>
        <w:t xml:space="preserve">) yer yer kristal grupları halinde kümelendiğini ve iri tek bir pirit kristali görünümünde olduğunu göstermiştir (Şekil 6A). En çok bulunan ikinci sülfür minerali sfalerit (ZnS) ise yaygın olarak piritle birlikte bulunmaktadır (Şekil 6B). ZnS mineralleri genellikle mikron boyutunda kalkopirit </w:t>
      </w:r>
      <w:r w:rsidRPr="00D6441B">
        <w:rPr>
          <w:rFonts w:ascii="Times New Roman" w:hAnsi="Times New Roman"/>
          <w:sz w:val="24"/>
          <w:szCs w:val="24"/>
        </w:rPr>
        <w:lastRenderedPageBreak/>
        <w:t>(CuFeS</w:t>
      </w:r>
      <w:r w:rsidRPr="00D6441B">
        <w:rPr>
          <w:rFonts w:ascii="Times New Roman" w:hAnsi="Times New Roman"/>
          <w:sz w:val="24"/>
          <w:szCs w:val="24"/>
          <w:vertAlign w:val="subscript"/>
        </w:rPr>
        <w:t>2</w:t>
      </w:r>
      <w:r w:rsidRPr="00D6441B">
        <w:rPr>
          <w:rFonts w:ascii="Times New Roman" w:hAnsi="Times New Roman"/>
          <w:sz w:val="24"/>
          <w:szCs w:val="24"/>
        </w:rPr>
        <w:t>) ve FeS</w:t>
      </w:r>
      <w:r w:rsidRPr="00D6441B">
        <w:rPr>
          <w:rFonts w:ascii="Times New Roman" w:hAnsi="Times New Roman"/>
          <w:sz w:val="24"/>
          <w:szCs w:val="24"/>
          <w:vertAlign w:val="subscript"/>
        </w:rPr>
        <w:t>2</w:t>
      </w:r>
      <w:r w:rsidRPr="00D6441B">
        <w:rPr>
          <w:rFonts w:ascii="Times New Roman" w:hAnsi="Times New Roman"/>
          <w:sz w:val="24"/>
          <w:szCs w:val="24"/>
        </w:rPr>
        <w:t xml:space="preserve"> taneleri içermektedir (Şekil 6C). CuFeS</w:t>
      </w:r>
      <w:r w:rsidRPr="00D6441B">
        <w:rPr>
          <w:rFonts w:ascii="Times New Roman" w:hAnsi="Times New Roman"/>
          <w:sz w:val="24"/>
          <w:szCs w:val="24"/>
          <w:vertAlign w:val="subscript"/>
        </w:rPr>
        <w:t>2</w:t>
      </w:r>
      <w:r w:rsidRPr="00D6441B">
        <w:rPr>
          <w:rFonts w:ascii="Times New Roman" w:hAnsi="Times New Roman"/>
          <w:sz w:val="24"/>
          <w:szCs w:val="24"/>
        </w:rPr>
        <w:t xml:space="preserve"> ise yaygın olarak ZnS içinde çok ince boyutlarda saçılmış şekilde birkaç mikron boyutta dağılım göstermektedir (Şekil 6D). Ayrıca, eluat analiz sonuçlarında da renkliliğe yol açacak elementlere rastlanılmıştır (Tablo 2). Söz konusu sülfürlü yapıların, büyük oranda liç atığına geçtiği düşünülmektedir. Bunun da eriyiş sırasında, camda renkliliğe yol açtığı düşünülmektedir. Ayrıca, referans cam ve üretilen borosilikat camlar arasında, Al</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dışındaki bileşikler hariç diğerlerinde bir paralellik gözlenmektedir. </w:t>
      </w:r>
    </w:p>
    <w:p w:rsidR="00FB192F" w:rsidRDefault="00FB192F" w:rsidP="001F5FA8">
      <w:pPr>
        <w:spacing w:before="120" w:after="120" w:line="240" w:lineRule="auto"/>
        <w:jc w:val="both"/>
        <w:rPr>
          <w:rFonts w:ascii="Times New Roman" w:hAnsi="Times New Roman"/>
          <w:i/>
          <w:sz w:val="24"/>
          <w:szCs w:val="24"/>
          <w:u w:val="single"/>
        </w:rPr>
      </w:pPr>
    </w:p>
    <w:p w:rsidR="00FB192F" w:rsidRDefault="00FB192F" w:rsidP="001F5FA8">
      <w:pPr>
        <w:spacing w:before="120" w:after="120" w:line="240" w:lineRule="auto"/>
        <w:jc w:val="both"/>
        <w:rPr>
          <w:rFonts w:ascii="Times New Roman" w:hAnsi="Times New Roman"/>
          <w:i/>
          <w:sz w:val="24"/>
          <w:szCs w:val="24"/>
          <w:u w:val="single"/>
        </w:rPr>
        <w:sectPr w:rsidR="00FB192F" w:rsidSect="00E230BE">
          <w:type w:val="continuous"/>
          <w:pgSz w:w="11906" w:h="16838"/>
          <w:pgMar w:top="1417" w:right="849" w:bottom="1417" w:left="1134" w:header="708" w:footer="340" w:gutter="0"/>
          <w:cols w:num="2" w:space="708"/>
          <w:docGrid w:linePitch="360"/>
        </w:sectPr>
      </w:pPr>
    </w:p>
    <w:p w:rsidR="00FB192F" w:rsidRDefault="00FB192F" w:rsidP="001F5FA8">
      <w:pPr>
        <w:spacing w:before="120" w:after="120" w:line="240" w:lineRule="auto"/>
        <w:jc w:val="both"/>
        <w:rPr>
          <w:rFonts w:ascii="Times New Roman" w:hAnsi="Times New Roman"/>
          <w:noProof/>
          <w:sz w:val="24"/>
          <w:szCs w:val="24"/>
          <w:lang w:eastAsia="tr-TR"/>
        </w:rPr>
      </w:pPr>
    </w:p>
    <w:p w:rsidR="001F5FA8" w:rsidRPr="00D6441B" w:rsidRDefault="001F5FA8" w:rsidP="00FB192F">
      <w:pPr>
        <w:spacing w:before="120" w:after="120" w:line="240" w:lineRule="auto"/>
        <w:jc w:val="center"/>
        <w:rPr>
          <w:rFonts w:ascii="Times New Roman" w:hAnsi="Times New Roman"/>
          <w:i/>
          <w:sz w:val="24"/>
          <w:szCs w:val="24"/>
          <w:u w:val="single"/>
        </w:rPr>
      </w:pPr>
      <w:r>
        <w:rPr>
          <w:rFonts w:ascii="Times New Roman" w:hAnsi="Times New Roman"/>
          <w:noProof/>
          <w:sz w:val="24"/>
          <w:szCs w:val="24"/>
          <w:lang w:val="en-AU" w:eastAsia="en-AU"/>
        </w:rPr>
        <w:drawing>
          <wp:inline distT="0" distB="0" distL="0" distR="0">
            <wp:extent cx="5705475" cy="4286250"/>
            <wp:effectExtent l="19050" t="0" r="9525" b="0"/>
            <wp:docPr id="163" name="Resim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8..jpg"/>
                    <pic:cNvPicPr>
                      <a:picLocks noChangeAspect="1" noChangeArrowheads="1"/>
                    </pic:cNvPicPr>
                  </pic:nvPicPr>
                  <pic:blipFill>
                    <a:blip r:embed="rId54"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tbl>
      <w:tblPr>
        <w:tblW w:w="0" w:type="auto"/>
        <w:jc w:val="center"/>
        <w:tblLayout w:type="fixed"/>
        <w:tblLook w:val="01E0" w:firstRow="1" w:lastRow="1" w:firstColumn="1" w:lastColumn="1" w:noHBand="0" w:noVBand="0"/>
      </w:tblPr>
      <w:tblGrid>
        <w:gridCol w:w="9288"/>
      </w:tblGrid>
      <w:tr w:rsidR="001F5FA8" w:rsidRPr="00D6441B" w:rsidTr="008D1314">
        <w:trPr>
          <w:jc w:val="center"/>
        </w:trPr>
        <w:tc>
          <w:tcPr>
            <w:tcW w:w="9288" w:type="dxa"/>
          </w:tcPr>
          <w:p w:rsidR="001F5FA8" w:rsidRPr="00D6441B" w:rsidRDefault="001F5FA8" w:rsidP="00FB192F">
            <w:pPr>
              <w:autoSpaceDE w:val="0"/>
              <w:autoSpaceDN w:val="0"/>
              <w:adjustRightInd w:val="0"/>
              <w:spacing w:before="120" w:after="120" w:line="240" w:lineRule="auto"/>
              <w:jc w:val="center"/>
              <w:rPr>
                <w:rFonts w:ascii="Times New Roman" w:hAnsi="Times New Roman"/>
                <w:sz w:val="24"/>
                <w:szCs w:val="24"/>
              </w:rPr>
            </w:pPr>
            <w:r w:rsidRPr="00D6441B">
              <w:rPr>
                <w:rFonts w:ascii="Times New Roman" w:hAnsi="Times New Roman"/>
                <w:b/>
                <w:bCs/>
                <w:color w:val="000000"/>
                <w:sz w:val="24"/>
                <w:szCs w:val="24"/>
              </w:rPr>
              <w:t>Şekil 6.</w:t>
            </w:r>
            <w:r w:rsidRPr="00D6441B">
              <w:rPr>
                <w:rFonts w:ascii="Times New Roman" w:hAnsi="Times New Roman"/>
                <w:bCs/>
                <w:color w:val="000000"/>
                <w:sz w:val="24"/>
                <w:szCs w:val="24"/>
              </w:rPr>
              <w:t xml:space="preserve"> Cevher dokuları; (qtz: silis (SiO</w:t>
            </w:r>
            <w:r w:rsidRPr="00D6441B">
              <w:rPr>
                <w:rFonts w:ascii="Times New Roman" w:hAnsi="Times New Roman"/>
                <w:bCs/>
                <w:color w:val="000000"/>
                <w:sz w:val="24"/>
                <w:szCs w:val="24"/>
                <w:vertAlign w:val="subscript"/>
              </w:rPr>
              <w:t>2</w:t>
            </w:r>
            <w:r w:rsidRPr="00D6441B">
              <w:rPr>
                <w:rFonts w:ascii="Times New Roman" w:hAnsi="Times New Roman"/>
                <w:bCs/>
                <w:color w:val="000000"/>
                <w:sz w:val="24"/>
                <w:szCs w:val="24"/>
              </w:rPr>
              <w:t>); py: pirit (FeS</w:t>
            </w:r>
            <w:r w:rsidRPr="00D6441B">
              <w:rPr>
                <w:rFonts w:ascii="Times New Roman" w:hAnsi="Times New Roman"/>
                <w:bCs/>
                <w:color w:val="000000"/>
                <w:sz w:val="24"/>
                <w:szCs w:val="24"/>
                <w:vertAlign w:val="subscript"/>
              </w:rPr>
              <w:t>2</w:t>
            </w:r>
            <w:r w:rsidRPr="00D6441B">
              <w:rPr>
                <w:rFonts w:ascii="Times New Roman" w:hAnsi="Times New Roman"/>
                <w:bCs/>
                <w:color w:val="000000"/>
                <w:sz w:val="24"/>
                <w:szCs w:val="24"/>
              </w:rPr>
              <w:t>); sph: sfalerit (ZnS); galen: (PbS), ccp: kalkopirit (CuFeS</w:t>
            </w:r>
            <w:r w:rsidRPr="00D6441B">
              <w:rPr>
                <w:rFonts w:ascii="Times New Roman" w:hAnsi="Times New Roman"/>
                <w:bCs/>
                <w:color w:val="000000"/>
                <w:sz w:val="24"/>
                <w:szCs w:val="24"/>
                <w:vertAlign w:val="subscript"/>
              </w:rPr>
              <w:t>2</w:t>
            </w:r>
            <w:r w:rsidRPr="00D6441B">
              <w:rPr>
                <w:rFonts w:ascii="Times New Roman" w:hAnsi="Times New Roman"/>
                <w:bCs/>
                <w:color w:val="000000"/>
                <w:sz w:val="24"/>
                <w:szCs w:val="24"/>
              </w:rPr>
              <w:t>)</w:t>
            </w:r>
          </w:p>
        </w:tc>
      </w:tr>
    </w:tbl>
    <w:p w:rsidR="00FB192F" w:rsidRDefault="00FB192F" w:rsidP="001F5FA8">
      <w:pPr>
        <w:autoSpaceDE w:val="0"/>
        <w:autoSpaceDN w:val="0"/>
        <w:adjustRightInd w:val="0"/>
        <w:spacing w:before="120" w:after="120" w:line="240" w:lineRule="auto"/>
        <w:contextualSpacing/>
        <w:jc w:val="both"/>
        <w:rPr>
          <w:rFonts w:ascii="Times New Roman" w:hAnsi="Times New Roman"/>
          <w:sz w:val="24"/>
          <w:szCs w:val="24"/>
        </w:rPr>
      </w:pPr>
    </w:p>
    <w:p w:rsidR="00FB192F" w:rsidRDefault="00FB192F" w:rsidP="001F5FA8">
      <w:pPr>
        <w:autoSpaceDE w:val="0"/>
        <w:autoSpaceDN w:val="0"/>
        <w:adjustRightInd w:val="0"/>
        <w:spacing w:before="120" w:after="120" w:line="240" w:lineRule="auto"/>
        <w:contextualSpacing/>
        <w:jc w:val="both"/>
        <w:rPr>
          <w:rFonts w:ascii="Times New Roman" w:hAnsi="Times New Roman"/>
          <w:sz w:val="24"/>
          <w:szCs w:val="24"/>
        </w:rPr>
        <w:sectPr w:rsidR="00FB192F" w:rsidSect="00FB192F">
          <w:type w:val="continuous"/>
          <w:pgSz w:w="11906" w:h="16838"/>
          <w:pgMar w:top="1417" w:right="849" w:bottom="1417" w:left="1134" w:header="708" w:footer="708" w:gutter="0"/>
          <w:cols w:space="708"/>
          <w:docGrid w:linePitch="360"/>
        </w:sectPr>
      </w:pPr>
    </w:p>
    <w:p w:rsidR="001F5FA8" w:rsidRPr="00D6441B" w:rsidRDefault="001F5FA8" w:rsidP="001F5FA8">
      <w:pPr>
        <w:autoSpaceDE w:val="0"/>
        <w:autoSpaceDN w:val="0"/>
        <w:adjustRightInd w:val="0"/>
        <w:spacing w:before="120" w:after="120" w:line="240" w:lineRule="auto"/>
        <w:contextualSpacing/>
        <w:jc w:val="both"/>
        <w:rPr>
          <w:rFonts w:ascii="Times New Roman" w:hAnsi="Times New Roman"/>
          <w:sz w:val="24"/>
          <w:szCs w:val="24"/>
        </w:rPr>
      </w:pPr>
      <w:r w:rsidRPr="00D6441B">
        <w:rPr>
          <w:rFonts w:ascii="Times New Roman" w:hAnsi="Times New Roman"/>
          <w:sz w:val="24"/>
          <w:szCs w:val="24"/>
        </w:rPr>
        <w:lastRenderedPageBreak/>
        <w:t>Ayrıca hesaplanan ısıl genleşme katsayıları arasında da temel bir fark çıkmamıştır. Sert borosilikat-borcamlar için literatürde de verilen ısıl genleşme katsayısı 3.3-3.8 x10</w:t>
      </w:r>
      <w:r w:rsidRPr="00D6441B">
        <w:rPr>
          <w:rFonts w:ascii="Times New Roman" w:hAnsi="Times New Roman"/>
          <w:sz w:val="24"/>
          <w:szCs w:val="24"/>
          <w:vertAlign w:val="superscript"/>
        </w:rPr>
        <w:t>-6</w:t>
      </w:r>
      <w:r w:rsidRPr="00D6441B">
        <w:rPr>
          <w:rFonts w:ascii="Times New Roman" w:hAnsi="Times New Roman"/>
          <w:sz w:val="24"/>
          <w:szCs w:val="24"/>
        </w:rPr>
        <w:t xml:space="preserve">’dır Tablo 5). Elde edilen 6 farklı camın kabul edilebilir sınırlar içinde olduğu görülmüştür. Diğer bir </w:t>
      </w:r>
      <w:r w:rsidRPr="00D6441B">
        <w:rPr>
          <w:rFonts w:ascii="Times New Roman" w:hAnsi="Times New Roman"/>
          <w:sz w:val="24"/>
          <w:szCs w:val="24"/>
        </w:rPr>
        <w:lastRenderedPageBreak/>
        <w:t>cam türü olan soda-kireç camlarında bu değer 9.0-10 x 10-6’dır. Görüldüğü üzere tüm cam gruplarının hepsi de aynı sınır değerler içerisindedir. Kendi aralarındaki küçük farklar bileşimindeki SiO</w:t>
      </w:r>
      <w:r w:rsidRPr="00D6441B">
        <w:rPr>
          <w:rFonts w:ascii="Times New Roman" w:hAnsi="Times New Roman"/>
          <w:sz w:val="24"/>
          <w:szCs w:val="24"/>
          <w:vertAlign w:val="subscript"/>
        </w:rPr>
        <w:t>2</w:t>
      </w:r>
      <w:r w:rsidRPr="00D6441B">
        <w:rPr>
          <w:rFonts w:ascii="Times New Roman" w:hAnsi="Times New Roman"/>
          <w:sz w:val="24"/>
          <w:szCs w:val="24"/>
        </w:rPr>
        <w:t xml:space="preserve"> ve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 xml:space="preserve"> ile bağıntılıdır. Genleşme katsayısını düşürmek için en etkili </w:t>
      </w:r>
      <w:r w:rsidRPr="00D6441B">
        <w:rPr>
          <w:rFonts w:ascii="Times New Roman" w:hAnsi="Times New Roman"/>
          <w:sz w:val="24"/>
          <w:szCs w:val="24"/>
        </w:rPr>
        <w:lastRenderedPageBreak/>
        <w:t>bileşen SiO</w:t>
      </w:r>
      <w:r w:rsidRPr="00D6441B">
        <w:rPr>
          <w:rFonts w:ascii="Times New Roman" w:hAnsi="Times New Roman"/>
          <w:sz w:val="24"/>
          <w:szCs w:val="24"/>
          <w:vertAlign w:val="subscript"/>
        </w:rPr>
        <w:t>2</w:t>
      </w:r>
      <w:r w:rsidRPr="00D6441B">
        <w:rPr>
          <w:rFonts w:ascii="Times New Roman" w:hAnsi="Times New Roman"/>
          <w:sz w:val="24"/>
          <w:szCs w:val="24"/>
        </w:rPr>
        <w:t xml:space="preserve"> ikincisi de B</w:t>
      </w:r>
      <w:r w:rsidRPr="00D6441B">
        <w:rPr>
          <w:rFonts w:ascii="Times New Roman" w:hAnsi="Times New Roman"/>
          <w:sz w:val="24"/>
          <w:szCs w:val="24"/>
          <w:vertAlign w:val="subscript"/>
        </w:rPr>
        <w:t>2</w:t>
      </w:r>
      <w:r w:rsidRPr="00D6441B">
        <w:rPr>
          <w:rFonts w:ascii="Times New Roman" w:hAnsi="Times New Roman"/>
          <w:sz w:val="24"/>
          <w:szCs w:val="24"/>
        </w:rPr>
        <w:t>O</w:t>
      </w:r>
      <w:r w:rsidRPr="00D6441B">
        <w:rPr>
          <w:rFonts w:ascii="Times New Roman" w:hAnsi="Times New Roman"/>
          <w:sz w:val="24"/>
          <w:szCs w:val="24"/>
          <w:vertAlign w:val="subscript"/>
        </w:rPr>
        <w:t>3</w:t>
      </w:r>
      <w:r w:rsidRPr="00D6441B">
        <w:rPr>
          <w:rFonts w:ascii="Times New Roman" w:hAnsi="Times New Roman"/>
          <w:sz w:val="24"/>
          <w:szCs w:val="24"/>
        </w:rPr>
        <w:t>'tür. Na</w:t>
      </w:r>
      <w:r w:rsidRPr="00D6441B">
        <w:rPr>
          <w:rFonts w:ascii="Times New Roman" w:hAnsi="Times New Roman"/>
          <w:sz w:val="24"/>
          <w:szCs w:val="24"/>
          <w:vertAlign w:val="subscript"/>
        </w:rPr>
        <w:t>2</w:t>
      </w:r>
      <w:r w:rsidRPr="00D6441B">
        <w:rPr>
          <w:rFonts w:ascii="Times New Roman" w:hAnsi="Times New Roman"/>
          <w:sz w:val="24"/>
          <w:szCs w:val="24"/>
        </w:rPr>
        <w:t xml:space="preserve">O ise arttıran oksittir. Eritilen camların kendi aralarındaki küçük genleşme farkları oksitlerin </w:t>
      </w:r>
      <w:r w:rsidRPr="00D6441B">
        <w:rPr>
          <w:rFonts w:ascii="Times New Roman" w:hAnsi="Times New Roman"/>
          <w:sz w:val="24"/>
          <w:szCs w:val="24"/>
        </w:rPr>
        <w:lastRenderedPageBreak/>
        <w:t xml:space="preserve">birbirleriyle yer değişimlerinin etkileri olarak değerlendirilmiştir. </w:t>
      </w:r>
    </w:p>
    <w:p w:rsidR="001F5FA8" w:rsidRDefault="001F5FA8" w:rsidP="001F5FA8">
      <w:pPr>
        <w:autoSpaceDE w:val="0"/>
        <w:autoSpaceDN w:val="0"/>
        <w:adjustRightInd w:val="0"/>
        <w:spacing w:before="120" w:after="120" w:line="240" w:lineRule="auto"/>
        <w:contextualSpacing/>
        <w:jc w:val="both"/>
        <w:rPr>
          <w:rFonts w:ascii="Times New Roman" w:hAnsi="Times New Roman"/>
          <w:sz w:val="24"/>
          <w:szCs w:val="24"/>
        </w:rPr>
      </w:pPr>
    </w:p>
    <w:p w:rsidR="00FB192F" w:rsidRPr="00D6441B" w:rsidRDefault="00FB192F" w:rsidP="001F5FA8">
      <w:pPr>
        <w:autoSpaceDE w:val="0"/>
        <w:autoSpaceDN w:val="0"/>
        <w:adjustRightInd w:val="0"/>
        <w:spacing w:before="120" w:after="120" w:line="240" w:lineRule="auto"/>
        <w:contextualSpacing/>
        <w:jc w:val="both"/>
        <w:rPr>
          <w:rFonts w:ascii="Times New Roman" w:hAnsi="Times New Roman"/>
          <w:sz w:val="24"/>
          <w:szCs w:val="24"/>
        </w:rPr>
      </w:pPr>
    </w:p>
    <w:p w:rsidR="00FB192F" w:rsidRDefault="00FB192F" w:rsidP="001F5FA8">
      <w:pPr>
        <w:autoSpaceDE w:val="0"/>
        <w:autoSpaceDN w:val="0"/>
        <w:adjustRightInd w:val="0"/>
        <w:spacing w:before="120" w:after="120" w:line="240" w:lineRule="auto"/>
        <w:contextualSpacing/>
        <w:jc w:val="both"/>
        <w:rPr>
          <w:rFonts w:ascii="Times New Roman" w:hAnsi="Times New Roman"/>
          <w:b/>
          <w:bCs/>
          <w:color w:val="000000"/>
          <w:sz w:val="24"/>
          <w:szCs w:val="24"/>
        </w:rPr>
        <w:sectPr w:rsidR="00FB192F" w:rsidSect="00E230BE">
          <w:type w:val="continuous"/>
          <w:pgSz w:w="11906" w:h="16838"/>
          <w:pgMar w:top="1417" w:right="849" w:bottom="1417" w:left="1134" w:header="708" w:footer="340" w:gutter="0"/>
          <w:cols w:num="2" w:space="708"/>
          <w:docGrid w:linePitch="360"/>
        </w:sectPr>
      </w:pPr>
    </w:p>
    <w:p w:rsidR="001F5FA8" w:rsidRPr="00D6441B" w:rsidRDefault="001F5FA8" w:rsidP="001F5FA8">
      <w:pPr>
        <w:autoSpaceDE w:val="0"/>
        <w:autoSpaceDN w:val="0"/>
        <w:adjustRightInd w:val="0"/>
        <w:spacing w:before="120" w:after="120" w:line="240" w:lineRule="auto"/>
        <w:contextualSpacing/>
        <w:jc w:val="both"/>
        <w:rPr>
          <w:rFonts w:ascii="Times New Roman" w:hAnsi="Times New Roman"/>
          <w:bCs/>
          <w:color w:val="000000"/>
          <w:sz w:val="24"/>
          <w:szCs w:val="24"/>
        </w:rPr>
      </w:pPr>
      <w:r w:rsidRPr="00D6441B">
        <w:rPr>
          <w:rFonts w:ascii="Times New Roman" w:hAnsi="Times New Roman"/>
          <w:b/>
          <w:bCs/>
          <w:color w:val="000000"/>
          <w:sz w:val="24"/>
          <w:szCs w:val="24"/>
        </w:rPr>
        <w:lastRenderedPageBreak/>
        <w:t>Tablo 5.</w:t>
      </w:r>
      <w:r w:rsidRPr="00D6441B">
        <w:rPr>
          <w:rFonts w:ascii="Times New Roman" w:hAnsi="Times New Roman"/>
          <w:bCs/>
          <w:color w:val="000000"/>
          <w:sz w:val="24"/>
          <w:szCs w:val="24"/>
        </w:rPr>
        <w:t>Borosilikat camların</w:t>
      </w:r>
      <w:r w:rsidRPr="00D6441B">
        <w:rPr>
          <w:rFonts w:ascii="Times New Roman" w:hAnsi="Times New Roman"/>
          <w:sz w:val="24"/>
          <w:szCs w:val="24"/>
        </w:rPr>
        <w:t xml:space="preserve"> </w:t>
      </w:r>
      <w:r w:rsidRPr="00D6441B">
        <w:rPr>
          <w:rFonts w:ascii="Times New Roman" w:hAnsi="Times New Roman"/>
          <w:bCs/>
          <w:color w:val="000000"/>
          <w:sz w:val="24"/>
          <w:szCs w:val="24"/>
        </w:rPr>
        <w:t>ısıl genleşme katsayıları</w:t>
      </w:r>
    </w:p>
    <w:tbl>
      <w:tblPr>
        <w:tblpPr w:leftFromText="141" w:rightFromText="141" w:vertAnchor="text" w:horzAnchor="page" w:tblpXSpec="center" w:tblpY="108"/>
        <w:tblW w:w="0" w:type="auto"/>
        <w:tblBorders>
          <w:top w:val="single" w:sz="12" w:space="0" w:color="008000"/>
          <w:bottom w:val="single" w:sz="12" w:space="0" w:color="008000"/>
        </w:tblBorders>
        <w:tblLook w:val="01E0" w:firstRow="1" w:lastRow="1" w:firstColumn="1" w:lastColumn="1" w:noHBand="0" w:noVBand="0"/>
      </w:tblPr>
      <w:tblGrid>
        <w:gridCol w:w="2198"/>
        <w:gridCol w:w="7014"/>
      </w:tblGrid>
      <w:tr w:rsidR="001F5FA8" w:rsidRPr="00D6441B" w:rsidTr="008D1314">
        <w:tc>
          <w:tcPr>
            <w:tcW w:w="2198" w:type="dxa"/>
            <w:tcBorders>
              <w:top w:val="single" w:sz="12" w:space="0" w:color="008000"/>
              <w:bottom w:val="single" w:sz="6" w:space="0" w:color="008000"/>
            </w:tcBorders>
          </w:tcPr>
          <w:p w:rsidR="001F5FA8" w:rsidRPr="00D6441B" w:rsidRDefault="001F5FA8" w:rsidP="008D1314">
            <w:pPr>
              <w:spacing w:after="0" w:line="240" w:lineRule="auto"/>
              <w:jc w:val="both"/>
              <w:rPr>
                <w:rFonts w:ascii="Times New Roman" w:hAnsi="Times New Roman"/>
                <w:sz w:val="24"/>
                <w:szCs w:val="24"/>
              </w:rPr>
            </w:pPr>
          </w:p>
        </w:tc>
        <w:tc>
          <w:tcPr>
            <w:tcW w:w="7014" w:type="dxa"/>
            <w:tcBorders>
              <w:top w:val="single" w:sz="12" w:space="0" w:color="008000"/>
              <w:bottom w:val="single" w:sz="6" w:space="0" w:color="008000"/>
            </w:tcBorders>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Isıl Genleşme Katsayıları(10-6)</w:t>
            </w:r>
          </w:p>
        </w:tc>
      </w:tr>
      <w:tr w:rsidR="001F5FA8" w:rsidRPr="00D6441B" w:rsidTr="008D1314">
        <w:tc>
          <w:tcPr>
            <w:tcW w:w="2198"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
                <w:sz w:val="24"/>
                <w:szCs w:val="24"/>
              </w:rPr>
              <w:t>BORCAM NO-1</w:t>
            </w:r>
          </w:p>
        </w:tc>
        <w:tc>
          <w:tcPr>
            <w:tcW w:w="7014"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3,56</w:t>
            </w:r>
          </w:p>
        </w:tc>
      </w:tr>
      <w:tr w:rsidR="001F5FA8" w:rsidRPr="00D6441B" w:rsidTr="008D1314">
        <w:tc>
          <w:tcPr>
            <w:tcW w:w="2198"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
                <w:sz w:val="24"/>
                <w:szCs w:val="24"/>
              </w:rPr>
              <w:t>BORCAM NO-2</w:t>
            </w:r>
          </w:p>
        </w:tc>
        <w:tc>
          <w:tcPr>
            <w:tcW w:w="7014"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3,63</w:t>
            </w:r>
          </w:p>
        </w:tc>
      </w:tr>
      <w:tr w:rsidR="001F5FA8" w:rsidRPr="00D6441B" w:rsidTr="008D1314">
        <w:tc>
          <w:tcPr>
            <w:tcW w:w="2198"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
                <w:sz w:val="24"/>
                <w:szCs w:val="24"/>
              </w:rPr>
              <w:t>BORCAM NO-3</w:t>
            </w:r>
          </w:p>
        </w:tc>
        <w:tc>
          <w:tcPr>
            <w:tcW w:w="7014"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3,60</w:t>
            </w:r>
          </w:p>
        </w:tc>
      </w:tr>
      <w:tr w:rsidR="001F5FA8" w:rsidRPr="00D6441B" w:rsidTr="008D1314">
        <w:tc>
          <w:tcPr>
            <w:tcW w:w="2198"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
                <w:sz w:val="24"/>
                <w:szCs w:val="24"/>
              </w:rPr>
              <w:t>BORCAM NO-4</w:t>
            </w:r>
          </w:p>
        </w:tc>
        <w:tc>
          <w:tcPr>
            <w:tcW w:w="7014"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3,80</w:t>
            </w:r>
          </w:p>
        </w:tc>
      </w:tr>
      <w:tr w:rsidR="001F5FA8" w:rsidRPr="00D6441B" w:rsidTr="008D1314">
        <w:tc>
          <w:tcPr>
            <w:tcW w:w="2198"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
                <w:sz w:val="24"/>
                <w:szCs w:val="24"/>
              </w:rPr>
              <w:t>BORCAM NO-5</w:t>
            </w:r>
          </w:p>
        </w:tc>
        <w:tc>
          <w:tcPr>
            <w:tcW w:w="7014"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3,80</w:t>
            </w:r>
          </w:p>
        </w:tc>
      </w:tr>
      <w:tr w:rsidR="001F5FA8" w:rsidRPr="00D6441B" w:rsidTr="008D1314">
        <w:tc>
          <w:tcPr>
            <w:tcW w:w="2198"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b/>
                <w:sz w:val="24"/>
                <w:szCs w:val="24"/>
              </w:rPr>
              <w:t>BORCAM NO-6</w:t>
            </w:r>
          </w:p>
        </w:tc>
        <w:tc>
          <w:tcPr>
            <w:tcW w:w="7014" w:type="dxa"/>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3,83</w:t>
            </w:r>
          </w:p>
        </w:tc>
      </w:tr>
      <w:tr w:rsidR="001F5FA8" w:rsidRPr="00D6441B" w:rsidTr="008D1314">
        <w:tc>
          <w:tcPr>
            <w:tcW w:w="2198" w:type="dxa"/>
            <w:tcBorders>
              <w:top w:val="single" w:sz="6" w:space="0" w:color="008000"/>
              <w:bottom w:val="single" w:sz="12" w:space="0" w:color="008000"/>
            </w:tcBorders>
          </w:tcPr>
          <w:p w:rsidR="001F5FA8" w:rsidRPr="00D6441B" w:rsidRDefault="001F5FA8" w:rsidP="008D1314">
            <w:pPr>
              <w:spacing w:after="0" w:line="240" w:lineRule="auto"/>
              <w:jc w:val="both"/>
              <w:rPr>
                <w:rFonts w:ascii="Times New Roman" w:hAnsi="Times New Roman"/>
                <w:b/>
                <w:sz w:val="24"/>
                <w:szCs w:val="24"/>
              </w:rPr>
            </w:pPr>
            <w:r w:rsidRPr="00D6441B">
              <w:rPr>
                <w:rFonts w:ascii="Times New Roman" w:hAnsi="Times New Roman"/>
                <w:b/>
                <w:sz w:val="24"/>
                <w:szCs w:val="24"/>
              </w:rPr>
              <w:t>REFERANS</w:t>
            </w:r>
          </w:p>
        </w:tc>
        <w:tc>
          <w:tcPr>
            <w:tcW w:w="7014" w:type="dxa"/>
            <w:tcBorders>
              <w:top w:val="single" w:sz="6" w:space="0" w:color="008000"/>
              <w:bottom w:val="single" w:sz="12" w:space="0" w:color="008000"/>
            </w:tcBorders>
          </w:tcPr>
          <w:p w:rsidR="001F5FA8" w:rsidRPr="00D6441B" w:rsidRDefault="001F5FA8" w:rsidP="008D1314">
            <w:pPr>
              <w:spacing w:after="0" w:line="240" w:lineRule="auto"/>
              <w:jc w:val="both"/>
              <w:rPr>
                <w:rFonts w:ascii="Times New Roman" w:hAnsi="Times New Roman"/>
                <w:sz w:val="24"/>
                <w:szCs w:val="24"/>
              </w:rPr>
            </w:pPr>
            <w:r w:rsidRPr="00D6441B">
              <w:rPr>
                <w:rFonts w:ascii="Times New Roman" w:hAnsi="Times New Roman"/>
                <w:sz w:val="24"/>
                <w:szCs w:val="24"/>
              </w:rPr>
              <w:t>3,78</w:t>
            </w:r>
          </w:p>
        </w:tc>
      </w:tr>
    </w:tbl>
    <w:p w:rsidR="00FB192F" w:rsidRDefault="00FB192F" w:rsidP="001F5FA8">
      <w:pPr>
        <w:autoSpaceDE w:val="0"/>
        <w:autoSpaceDN w:val="0"/>
        <w:adjustRightInd w:val="0"/>
        <w:spacing w:before="120" w:after="120" w:line="240" w:lineRule="auto"/>
        <w:jc w:val="both"/>
        <w:rPr>
          <w:rFonts w:ascii="Times New Roman" w:hAnsi="Times New Roman"/>
          <w:sz w:val="24"/>
          <w:szCs w:val="24"/>
        </w:rPr>
        <w:sectPr w:rsidR="00FB192F" w:rsidSect="00FB192F">
          <w:type w:val="continuous"/>
          <w:pgSz w:w="11906" w:h="16838"/>
          <w:pgMar w:top="1417" w:right="849" w:bottom="1417" w:left="1134" w:header="708" w:footer="708" w:gutter="0"/>
          <w:cols w:space="708"/>
          <w:docGrid w:linePitch="360"/>
        </w:sectPr>
      </w:pPr>
    </w:p>
    <w:p w:rsidR="00FB192F" w:rsidRDefault="00FB192F" w:rsidP="001F5FA8">
      <w:pPr>
        <w:autoSpaceDE w:val="0"/>
        <w:autoSpaceDN w:val="0"/>
        <w:adjustRightInd w:val="0"/>
        <w:spacing w:before="120" w:after="120" w:line="240" w:lineRule="auto"/>
        <w:jc w:val="both"/>
        <w:rPr>
          <w:rFonts w:ascii="Times New Roman" w:hAnsi="Times New Roman"/>
          <w:sz w:val="24"/>
          <w:szCs w:val="24"/>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rPr>
      </w:pPr>
      <w:r w:rsidRPr="00D6441B">
        <w:rPr>
          <w:rFonts w:ascii="Times New Roman" w:hAnsi="Times New Roman"/>
          <w:sz w:val="24"/>
          <w:szCs w:val="24"/>
        </w:rPr>
        <w:t>Sonuç olarak, liç atıkları ve bor türevlerinin cam üretiminde kullanılması halinde;</w:t>
      </w:r>
    </w:p>
    <w:p w:rsidR="001F5FA8" w:rsidRPr="00D6441B" w:rsidRDefault="001F5FA8" w:rsidP="001F5FA8">
      <w:pPr>
        <w:numPr>
          <w:ilvl w:val="0"/>
          <w:numId w:val="10"/>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Cevher hazırlama tesislerinde de en önemli masraf öğütmeye harcanan enerjiden kaynaklanmaktadır. Öğütme için harcanan enerjinin ancak %1 arası öğütmeye harcanmaktadır. Geriye kalan enerjinin %99’u ısıya ve sese dönüşmektedir. Liç atıklarının cam üretiminde kullanılması halinde tekrar öğütülmesine gerek olmadığından, ülke ekonomisine katkı sağlayacaktır.</w:t>
      </w:r>
    </w:p>
    <w:p w:rsidR="001F5FA8" w:rsidRPr="00D6441B" w:rsidRDefault="001F5FA8" w:rsidP="001F5FA8">
      <w:pPr>
        <w:numPr>
          <w:ilvl w:val="0"/>
          <w:numId w:val="10"/>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Zararlı atıklar için ayrıca stoklama/depolamaya gerek kalmayacaktır.</w:t>
      </w:r>
    </w:p>
    <w:p w:rsidR="001F5FA8" w:rsidRPr="00D6441B" w:rsidRDefault="001F5FA8" w:rsidP="001F5FA8">
      <w:pPr>
        <w:numPr>
          <w:ilvl w:val="0"/>
          <w:numId w:val="10"/>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Dünya bor rezervinin %72’sine sahip ülkemizde, bor türevlerine yeni kullanım alanları açılmış olacaktır.</w:t>
      </w:r>
    </w:p>
    <w:p w:rsidR="001F5FA8" w:rsidRPr="00D6441B" w:rsidRDefault="001F5FA8" w:rsidP="001F5FA8">
      <w:pPr>
        <w:numPr>
          <w:ilvl w:val="0"/>
          <w:numId w:val="10"/>
        </w:numPr>
        <w:autoSpaceDE w:val="0"/>
        <w:autoSpaceDN w:val="0"/>
        <w:adjustRightInd w:val="0"/>
        <w:spacing w:before="120" w:after="120" w:line="240" w:lineRule="auto"/>
        <w:ind w:left="0" w:firstLine="0"/>
        <w:jc w:val="both"/>
        <w:rPr>
          <w:rFonts w:ascii="Times New Roman" w:hAnsi="Times New Roman"/>
          <w:sz w:val="24"/>
          <w:szCs w:val="24"/>
        </w:rPr>
      </w:pPr>
      <w:r w:rsidRPr="00D6441B">
        <w:rPr>
          <w:rFonts w:ascii="Times New Roman" w:hAnsi="Times New Roman"/>
          <w:sz w:val="24"/>
          <w:szCs w:val="24"/>
        </w:rPr>
        <w:t xml:space="preserve">Elde edilen </w:t>
      </w:r>
      <w:r w:rsidRPr="00D6441B">
        <w:rPr>
          <w:rFonts w:ascii="Times New Roman" w:hAnsi="Times New Roman"/>
          <w:color w:val="000000"/>
          <w:sz w:val="24"/>
          <w:szCs w:val="24"/>
        </w:rPr>
        <w:t>renkli, sert borosilikat-borcamlar gibi yeni bir ürün elde edilmiş olacağı gibi, gerektiğinde daha farklı renklerde cam üretilmesi mümkün olacaktır.</w:t>
      </w:r>
    </w:p>
    <w:p w:rsidR="001F5FA8" w:rsidRPr="00D6441B" w:rsidRDefault="001F5FA8" w:rsidP="001F5FA8">
      <w:pPr>
        <w:autoSpaceDE w:val="0"/>
        <w:autoSpaceDN w:val="0"/>
        <w:adjustRightInd w:val="0"/>
        <w:spacing w:before="120" w:after="120" w:line="240" w:lineRule="auto"/>
        <w:jc w:val="both"/>
        <w:rPr>
          <w:rFonts w:ascii="Times New Roman" w:hAnsi="Times New Roman"/>
          <w:b/>
          <w:color w:val="FF0000"/>
          <w:sz w:val="24"/>
          <w:szCs w:val="24"/>
          <w:u w:val="single"/>
        </w:rPr>
      </w:pPr>
    </w:p>
    <w:p w:rsidR="001F5FA8" w:rsidRPr="00D6441B" w:rsidRDefault="001F5FA8" w:rsidP="001F5FA8">
      <w:pPr>
        <w:spacing w:before="120" w:after="120" w:line="240" w:lineRule="auto"/>
        <w:jc w:val="both"/>
        <w:rPr>
          <w:rFonts w:ascii="Times New Roman" w:hAnsi="Times New Roman"/>
          <w:b/>
          <w:caps/>
          <w:sz w:val="24"/>
          <w:szCs w:val="24"/>
        </w:rPr>
      </w:pPr>
      <w:r w:rsidRPr="00D6441B">
        <w:rPr>
          <w:rFonts w:ascii="Times New Roman" w:hAnsi="Times New Roman"/>
          <w:b/>
          <w:caps/>
          <w:sz w:val="24"/>
          <w:szCs w:val="24"/>
        </w:rPr>
        <w:t>Teşekkür</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Bu araştırmanın yapılmasında katkısı geçen  T. Şişe ve Cam Fab. Aş. ’ye ve Sayın Hande Şengel’ e teşekkür ederiz.</w:t>
      </w:r>
    </w:p>
    <w:p w:rsidR="001F5FA8" w:rsidRPr="00D6441B" w:rsidRDefault="001F5FA8" w:rsidP="001F5FA8">
      <w:pPr>
        <w:autoSpaceDE w:val="0"/>
        <w:autoSpaceDN w:val="0"/>
        <w:adjustRightInd w:val="0"/>
        <w:spacing w:before="120" w:after="120" w:line="240" w:lineRule="auto"/>
        <w:jc w:val="both"/>
        <w:rPr>
          <w:rFonts w:ascii="Times New Roman" w:hAnsi="Times New Roman"/>
          <w:b/>
          <w:color w:val="FF0000"/>
          <w:sz w:val="24"/>
          <w:szCs w:val="24"/>
          <w:u w:val="single"/>
        </w:rPr>
      </w:pPr>
    </w:p>
    <w:p w:rsidR="001F5FA8" w:rsidRPr="00D6441B" w:rsidRDefault="001F5FA8" w:rsidP="001F5FA8">
      <w:pPr>
        <w:autoSpaceDE w:val="0"/>
        <w:autoSpaceDN w:val="0"/>
        <w:adjustRightInd w:val="0"/>
        <w:spacing w:before="120" w:after="120" w:line="240" w:lineRule="auto"/>
        <w:jc w:val="both"/>
        <w:rPr>
          <w:rFonts w:ascii="Times New Roman" w:hAnsi="Times New Roman"/>
          <w:b/>
          <w:sz w:val="24"/>
          <w:szCs w:val="24"/>
        </w:rPr>
      </w:pPr>
      <w:r w:rsidRPr="00D6441B">
        <w:rPr>
          <w:rFonts w:ascii="Times New Roman" w:hAnsi="Times New Roman"/>
          <w:b/>
          <w:sz w:val="24"/>
          <w:szCs w:val="24"/>
        </w:rPr>
        <w:t>KAYNAKLAR</w:t>
      </w:r>
    </w:p>
    <w:p w:rsidR="001F5FA8" w:rsidRPr="00D6441B" w:rsidRDefault="001F5FA8" w:rsidP="001F5FA8">
      <w:pPr>
        <w:pStyle w:val="Standard"/>
        <w:spacing w:before="120" w:after="120" w:line="240" w:lineRule="auto"/>
        <w:jc w:val="both"/>
        <w:rPr>
          <w:rFonts w:cs="Times New Roman"/>
          <w:lang w:val="tr-TR"/>
        </w:rPr>
      </w:pPr>
    </w:p>
    <w:p w:rsidR="001F5FA8" w:rsidRPr="00FB192F" w:rsidRDefault="001F5FA8" w:rsidP="00FB192F">
      <w:pPr>
        <w:pStyle w:val="Standard"/>
        <w:spacing w:before="120" w:after="120" w:line="240" w:lineRule="auto"/>
        <w:ind w:left="567" w:hanging="567"/>
        <w:jc w:val="both"/>
        <w:rPr>
          <w:rFonts w:cs="Times New Roman"/>
          <w:lang w:val="tr-TR"/>
        </w:rPr>
      </w:pPr>
      <w:r w:rsidRPr="00FB192F">
        <w:rPr>
          <w:rFonts w:cs="Times New Roman"/>
          <w:lang w:val="tr-TR"/>
        </w:rPr>
        <w:t>Boğaziçi Üniversitesi, "Cam Sanayi Sektör Araştırma Raporu", 1981</w:t>
      </w:r>
    </w:p>
    <w:p w:rsidR="001F5FA8" w:rsidRPr="00FB192F" w:rsidRDefault="001F5FA8" w:rsidP="00FB192F">
      <w:pPr>
        <w:pStyle w:val="Standard"/>
        <w:spacing w:before="120" w:after="120" w:line="240" w:lineRule="auto"/>
        <w:ind w:left="567" w:hanging="567"/>
        <w:jc w:val="both"/>
        <w:rPr>
          <w:rFonts w:cs="Times New Roman"/>
          <w:lang w:val="tr-TR"/>
        </w:rPr>
      </w:pPr>
      <w:r w:rsidRPr="00FB192F">
        <w:rPr>
          <w:rFonts w:cs="Times New Roman"/>
          <w:lang w:val="tr-TR"/>
        </w:rPr>
        <w:t>Köse M., Oygür V. Türkiye'de Altın Madenciliğini Engellemeye Yönelik Asılsız İddialar ve Gerçekler, Altın Madenciliği Derneği Dergisi, Kasım 2009; 1-2</w:t>
      </w:r>
    </w:p>
    <w:p w:rsidR="001F5FA8" w:rsidRPr="00FB192F" w:rsidRDefault="001F5FA8" w:rsidP="00FB192F">
      <w:pPr>
        <w:pStyle w:val="Standard"/>
        <w:spacing w:before="120" w:after="120" w:line="240" w:lineRule="auto"/>
        <w:ind w:left="567" w:hanging="567"/>
        <w:jc w:val="both"/>
        <w:rPr>
          <w:rFonts w:cs="Times New Roman"/>
          <w:lang w:val="tr-TR"/>
        </w:rPr>
      </w:pPr>
      <w:r w:rsidRPr="00FB192F">
        <w:rPr>
          <w:rFonts w:cs="Times New Roman"/>
          <w:lang w:val="tr-TR"/>
        </w:rPr>
        <w:t>Pala A., Erkan C.,Demirege S (2010) :Altın Liçi Atıklarının Geri Kazanılabilirliğinin Deneysel Yöntemlerle Araştırılması, UKAY 2010 Kongresi, Mersin.</w:t>
      </w:r>
    </w:p>
    <w:p w:rsidR="001F5FA8" w:rsidRPr="00FB192F" w:rsidRDefault="001F5FA8" w:rsidP="00FB192F">
      <w:pPr>
        <w:pStyle w:val="Standard"/>
        <w:spacing w:before="120" w:after="120" w:line="240" w:lineRule="auto"/>
        <w:ind w:left="567" w:hanging="567"/>
        <w:jc w:val="both"/>
        <w:rPr>
          <w:rFonts w:cs="Times New Roman"/>
          <w:lang w:val="tr-TR"/>
        </w:rPr>
      </w:pPr>
      <w:r w:rsidRPr="00FB192F">
        <w:rPr>
          <w:rFonts w:cs="Times New Roman"/>
          <w:lang w:val="tr-TR"/>
        </w:rPr>
        <w:t>Prof. Dr. Halil KÖSE, Yrd. Doç. Dr. Turan BATAR, Yrd. Doç. Dr. Bayram KAHRAMAN, Dünya Bor Stratejisi ve Borun Türkiye için önemi, EGİAD Girişimcilik-Yönetim-Ekonomi Araştırmaları Dizisi: 2,9,11,14,15</w:t>
      </w:r>
    </w:p>
    <w:p w:rsidR="001F5FA8" w:rsidRPr="00FB192F" w:rsidRDefault="001F5FA8" w:rsidP="00FB192F">
      <w:pPr>
        <w:pStyle w:val="Standard"/>
        <w:spacing w:before="120" w:after="120" w:line="240" w:lineRule="auto"/>
        <w:ind w:left="567" w:hanging="567"/>
        <w:jc w:val="both"/>
        <w:rPr>
          <w:rFonts w:cs="Times New Roman"/>
          <w:lang w:val="tr-TR"/>
        </w:rPr>
      </w:pPr>
      <w:r w:rsidRPr="00FB192F">
        <w:rPr>
          <w:rFonts w:cs="Times New Roman"/>
          <w:lang w:val="tr-TR"/>
        </w:rPr>
        <w:t>Prof. Dr. İsmail DUMAN, Bor Madenleri ve Stratejik Bor Ürünleri, Bilim ve Ütopya Aralık 2003; 18</w:t>
      </w:r>
    </w:p>
    <w:p w:rsidR="00FB192F" w:rsidRDefault="001F5FA8" w:rsidP="00FB192F">
      <w:pPr>
        <w:pStyle w:val="Standard"/>
        <w:spacing w:before="120" w:after="120" w:line="240" w:lineRule="auto"/>
        <w:ind w:left="567" w:hanging="567"/>
        <w:jc w:val="both"/>
        <w:rPr>
          <w:rFonts w:cs="Times New Roman"/>
          <w:lang w:val="tr-TR"/>
        </w:rPr>
        <w:sectPr w:rsidR="00FB192F" w:rsidSect="00FB192F">
          <w:type w:val="continuous"/>
          <w:pgSz w:w="11906" w:h="16838"/>
          <w:pgMar w:top="1417" w:right="849" w:bottom="1417" w:left="1134" w:header="708" w:footer="708" w:gutter="0"/>
          <w:cols w:num="2" w:space="708"/>
          <w:docGrid w:linePitch="360"/>
        </w:sectPr>
      </w:pPr>
      <w:r w:rsidRPr="00FB192F">
        <w:rPr>
          <w:rFonts w:cs="Times New Roman"/>
          <w:lang w:val="tr-TR"/>
        </w:rPr>
        <w:t>Sayın Z. E.,Batar T., Kaya E., Tufan B. (2010):  Altın Üretiminde Siyanür Tüketiminin Azaltılması İçin Farklı Bir Yöntem: Gravite Zenginleştirme ve Liç Kombinasyonu. Ekoloji, 19(77), 65–71.</w:t>
      </w:r>
      <w:r w:rsidRPr="00D6441B">
        <w:rPr>
          <w:rFonts w:cs="Times New Roman"/>
          <w:lang w:val="tr-TR"/>
        </w:rPr>
        <w:t xml:space="preserve">  </w:t>
      </w:r>
    </w:p>
    <w:p w:rsidR="001F5FA8" w:rsidRDefault="001F5FA8" w:rsidP="001F5FA8">
      <w:pPr>
        <w:pStyle w:val="Standard"/>
        <w:spacing w:before="120" w:after="120" w:line="240" w:lineRule="auto"/>
        <w:jc w:val="both"/>
        <w:rPr>
          <w:rFonts w:cs="Times New Roman"/>
          <w:lang w:val="tr-TR"/>
        </w:rPr>
      </w:pPr>
    </w:p>
    <w:p w:rsidR="006959C4" w:rsidRDefault="006959C4">
      <w:pPr>
        <w:sectPr w:rsidR="006959C4" w:rsidSect="00D72895">
          <w:type w:val="continuous"/>
          <w:pgSz w:w="11906" w:h="16838"/>
          <w:pgMar w:top="1417" w:right="849" w:bottom="1417" w:left="1134" w:header="708" w:footer="708" w:gutter="0"/>
          <w:cols w:space="708"/>
          <w:docGrid w:linePitch="360"/>
        </w:sectPr>
      </w:pPr>
    </w:p>
    <w:p w:rsidR="001F5FA8" w:rsidRDefault="001F5FA8">
      <w:pPr>
        <w:rPr>
          <w:rFonts w:ascii="Times New Roman" w:eastAsia="SimSun" w:hAnsi="Times New Roman"/>
          <w:color w:val="00000A"/>
          <w:sz w:val="24"/>
          <w:szCs w:val="24"/>
          <w:lang w:eastAsia="zh-CN" w:bidi="hi-IN"/>
        </w:rPr>
      </w:pPr>
      <w:r>
        <w:lastRenderedPageBreak/>
        <w:br w:type="page"/>
      </w:r>
    </w:p>
    <w:p w:rsidR="001F5FA8" w:rsidRPr="00F703CB" w:rsidRDefault="001F5FA8" w:rsidP="001F5FA8">
      <w:pPr>
        <w:spacing w:before="120" w:after="120" w:line="240" w:lineRule="auto"/>
        <w:jc w:val="center"/>
        <w:rPr>
          <w:rFonts w:ascii="Times New Roman" w:hAnsi="Times New Roman"/>
          <w:b/>
          <w:sz w:val="32"/>
          <w:szCs w:val="24"/>
        </w:rPr>
      </w:pPr>
    </w:p>
    <w:p w:rsidR="001F5FA8" w:rsidRPr="00F703CB" w:rsidRDefault="001F5FA8" w:rsidP="001F5FA8">
      <w:pPr>
        <w:spacing w:before="120" w:after="120" w:line="240" w:lineRule="auto"/>
        <w:jc w:val="center"/>
        <w:rPr>
          <w:rFonts w:ascii="Times New Roman" w:hAnsi="Times New Roman"/>
          <w:b/>
          <w:sz w:val="32"/>
          <w:szCs w:val="24"/>
        </w:rPr>
      </w:pPr>
    </w:p>
    <w:p w:rsidR="001F5FA8" w:rsidRPr="00F703CB" w:rsidRDefault="001F5FA8" w:rsidP="001F5FA8">
      <w:pPr>
        <w:spacing w:before="120" w:after="120" w:line="240" w:lineRule="auto"/>
        <w:jc w:val="center"/>
        <w:rPr>
          <w:rFonts w:ascii="Times New Roman" w:hAnsi="Times New Roman"/>
          <w:b/>
          <w:sz w:val="32"/>
          <w:szCs w:val="24"/>
        </w:rPr>
      </w:pPr>
      <w:r w:rsidRPr="00F703CB">
        <w:rPr>
          <w:rFonts w:ascii="Times New Roman" w:hAnsi="Times New Roman"/>
          <w:b/>
          <w:sz w:val="32"/>
          <w:szCs w:val="24"/>
        </w:rPr>
        <w:t>TIBBÎ ATIK YÖNETİMİNDE BÖLGESEL ÇÖZÜM: BOLU-DÜZCE-SAKARYA ÖRNEĞİ</w:t>
      </w:r>
    </w:p>
    <w:p w:rsidR="001F5FA8" w:rsidRPr="00D6441B" w:rsidRDefault="001F5FA8" w:rsidP="001F5FA8">
      <w:pPr>
        <w:spacing w:before="120" w:after="120" w:line="240" w:lineRule="auto"/>
        <w:jc w:val="both"/>
        <w:rPr>
          <w:rFonts w:ascii="Times New Roman" w:hAnsi="Times New Roman"/>
          <w:b/>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Kamil B. Varınca, Cengiz Esmen, Yaşar Avşar</w:t>
      </w:r>
    </w:p>
    <w:p w:rsidR="001F5FA8" w:rsidRPr="00D6441B" w:rsidRDefault="001F5FA8" w:rsidP="001F5FA8">
      <w:pPr>
        <w:spacing w:after="0" w:line="240" w:lineRule="auto"/>
        <w:jc w:val="both"/>
        <w:rPr>
          <w:rFonts w:ascii="Times New Roman" w:hAnsi="Times New Roman"/>
          <w:sz w:val="24"/>
          <w:szCs w:val="24"/>
        </w:rPr>
      </w:pPr>
      <w:r w:rsidRPr="00D6441B">
        <w:rPr>
          <w:rFonts w:ascii="Times New Roman" w:hAnsi="Times New Roman"/>
          <w:sz w:val="24"/>
          <w:szCs w:val="24"/>
        </w:rPr>
        <w:t>Yıldız Teknik Üniversitesi İnşaat Fakültesi Çevre Mühendisliği Bölümü, 34220, Esenler, İstanbul</w:t>
      </w:r>
    </w:p>
    <w:p w:rsidR="001F5FA8" w:rsidRPr="00D6441B" w:rsidRDefault="001F5FA8" w:rsidP="001F5FA8">
      <w:pPr>
        <w:spacing w:before="120" w:after="120" w:line="240" w:lineRule="auto"/>
        <w:jc w:val="both"/>
        <w:rPr>
          <w:rFonts w:ascii="Times New Roman" w:hAnsi="Times New Roman"/>
          <w:sz w:val="24"/>
          <w:szCs w:val="24"/>
        </w:rPr>
      </w:pPr>
    </w:p>
    <w:p w:rsidR="001F5FA8" w:rsidRPr="00D6441B" w:rsidRDefault="001F5FA8" w:rsidP="001F5FA8">
      <w:pPr>
        <w:spacing w:before="120" w:after="120" w:line="240" w:lineRule="auto"/>
        <w:jc w:val="both"/>
        <w:rPr>
          <w:rFonts w:ascii="Times New Roman" w:hAnsi="Times New Roman"/>
          <w:b/>
          <w:sz w:val="24"/>
          <w:szCs w:val="24"/>
        </w:rPr>
      </w:pPr>
      <w:r w:rsidRPr="00D6441B">
        <w:rPr>
          <w:rFonts w:ascii="Times New Roman" w:hAnsi="Times New Roman"/>
          <w:b/>
          <w:sz w:val="24"/>
          <w:szCs w:val="24"/>
        </w:rPr>
        <w:t>Özet</w:t>
      </w:r>
    </w:p>
    <w:p w:rsidR="001F5FA8" w:rsidRPr="00D6441B" w:rsidRDefault="001F5FA8" w:rsidP="001F5FA8">
      <w:pPr>
        <w:spacing w:before="120" w:after="120" w:line="240" w:lineRule="auto"/>
        <w:jc w:val="both"/>
        <w:rPr>
          <w:rFonts w:ascii="Times New Roman" w:hAnsi="Times New Roman"/>
          <w:sz w:val="24"/>
          <w:szCs w:val="24"/>
        </w:rPr>
      </w:pPr>
      <w:r w:rsidRPr="00D6441B">
        <w:rPr>
          <w:rFonts w:ascii="Times New Roman" w:hAnsi="Times New Roman"/>
          <w:sz w:val="24"/>
          <w:szCs w:val="24"/>
        </w:rPr>
        <w:t xml:space="preserve">Tıbbî atıkların bertarafı konusunda teknoloji seçiminde en önemli etken atık miktarıdır. Atık miktarı sistemin kapasitesini, dolayısıyla tüm seçenekleri etkiler. Atık miktarı az olduğunda ters orantılı olarak çoğunlukla birim maliyet yükselmekte bu da sistemin yapılabilirlik ve sürdürülebilirliğini olumsuz yönde etkilemektedir. Bu sorunun önüne geçebilmek için yerleşim yerleri bir araya gelerek tıbbî atıklarını birlikte bertaraf etme yolunu seçebilirler. Bu birlikteliklerden biri de Bolu, Düzce ve Sakarya illerinin oluşturmuş olduğu ortak tıbbî atık yönetim planıdır. Bu planda bu üç ilden toplanan tıbbî atıklar Sakarya Büyükşehir Belediyesi Katı Atık Düzenli Depolama Sahası içerisinde inşa edilen sterilizasyon tesisinde sterilize edilmekte ve içinde bulunulan depo sahasında nihai depolanmaktadırlar. Bu bildiride; Bolu, Düzce ve Sakarya illeri ve ilçelerinde oluşan tıbbî atıkların bertarafı için kurulmuş olan tıbbî atık yönetim sisteminin toplama-taşıma ve bertaraf adımları sistem verileri ışığında açıklanmış ve bertaraf edilen atık miktarına göre bu yörenin tıbbî atık oluşum oranları sistem kayıtlarından </w:t>
      </w:r>
      <w:r w:rsidRPr="00D6441B">
        <w:rPr>
          <w:rFonts w:ascii="Times New Roman" w:hAnsi="Times New Roman"/>
          <w:color w:val="000000"/>
          <w:sz w:val="24"/>
          <w:szCs w:val="24"/>
        </w:rPr>
        <w:t>Bolu ilinde 0,73 kg/kişi-yıl ve 0,40 kg/yatak-gün, Düzce ilinde 0,59 kg/kişi-yıl ve 0,60 kg/yatak-gün ve Sakarya ilinde 0,59 kg/kişi-yıl ve 0,83 kg/yatak-gün olarak, genelde ise 0,61 kg/kişi-yıl ve 0,63 kg/yatak-gün olarak tespit edilmiştir.</w:t>
      </w:r>
    </w:p>
    <w:p w:rsidR="001F5FA8" w:rsidRPr="00D6441B" w:rsidRDefault="001F5FA8" w:rsidP="001F5FA8">
      <w:pPr>
        <w:spacing w:before="120" w:after="120" w:line="240" w:lineRule="auto"/>
        <w:jc w:val="both"/>
        <w:rPr>
          <w:rFonts w:ascii="Times New Roman" w:hAnsi="Times New Roman"/>
          <w:i/>
          <w:sz w:val="24"/>
          <w:szCs w:val="24"/>
        </w:rPr>
      </w:pPr>
      <w:r w:rsidRPr="00D6441B">
        <w:rPr>
          <w:rFonts w:ascii="Times New Roman" w:hAnsi="Times New Roman"/>
          <w:b/>
          <w:i/>
          <w:sz w:val="24"/>
          <w:szCs w:val="24"/>
        </w:rPr>
        <w:t xml:space="preserve">Anahtar </w:t>
      </w:r>
      <w:r>
        <w:rPr>
          <w:rFonts w:ascii="Times New Roman" w:hAnsi="Times New Roman"/>
          <w:b/>
          <w:i/>
          <w:sz w:val="24"/>
          <w:szCs w:val="24"/>
        </w:rPr>
        <w:t>K</w:t>
      </w:r>
      <w:r w:rsidRPr="00D6441B">
        <w:rPr>
          <w:rFonts w:ascii="Times New Roman" w:hAnsi="Times New Roman"/>
          <w:b/>
          <w:i/>
          <w:sz w:val="24"/>
          <w:szCs w:val="24"/>
        </w:rPr>
        <w:t>elimeler</w:t>
      </w:r>
      <w:r w:rsidRPr="00D6441B">
        <w:rPr>
          <w:rFonts w:ascii="Times New Roman" w:hAnsi="Times New Roman"/>
          <w:i/>
          <w:sz w:val="24"/>
          <w:szCs w:val="24"/>
        </w:rPr>
        <w:t xml:space="preserve">: Bolu, Düzce, Sakarya, </w:t>
      </w:r>
      <w:r>
        <w:rPr>
          <w:rFonts w:ascii="Times New Roman" w:hAnsi="Times New Roman"/>
          <w:i/>
          <w:sz w:val="24"/>
          <w:szCs w:val="24"/>
        </w:rPr>
        <w:t>s</w:t>
      </w:r>
      <w:r w:rsidRPr="00D6441B">
        <w:rPr>
          <w:rFonts w:ascii="Times New Roman" w:hAnsi="Times New Roman"/>
          <w:i/>
          <w:sz w:val="24"/>
          <w:szCs w:val="24"/>
        </w:rPr>
        <w:t xml:space="preserve">terilizasyon, </w:t>
      </w:r>
      <w:r>
        <w:rPr>
          <w:rFonts w:ascii="Times New Roman" w:hAnsi="Times New Roman"/>
          <w:i/>
          <w:sz w:val="24"/>
          <w:szCs w:val="24"/>
        </w:rPr>
        <w:t>t</w:t>
      </w:r>
      <w:r w:rsidRPr="00D6441B">
        <w:rPr>
          <w:rFonts w:ascii="Times New Roman" w:hAnsi="Times New Roman"/>
          <w:i/>
          <w:sz w:val="24"/>
          <w:szCs w:val="24"/>
        </w:rPr>
        <w:t>ıbbî atık</w:t>
      </w:r>
    </w:p>
    <w:p w:rsidR="001F5FA8" w:rsidRPr="00D6441B" w:rsidRDefault="001F5FA8" w:rsidP="001F5FA8">
      <w:pPr>
        <w:spacing w:before="120" w:after="120" w:line="240" w:lineRule="auto"/>
        <w:jc w:val="both"/>
        <w:rPr>
          <w:rFonts w:ascii="Times New Roman" w:hAnsi="Times New Roman"/>
          <w:sz w:val="24"/>
          <w:szCs w:val="24"/>
        </w:rPr>
      </w:pPr>
    </w:p>
    <w:p w:rsidR="001F5FA8" w:rsidRPr="00F703CB" w:rsidRDefault="001F5FA8" w:rsidP="001F5FA8">
      <w:pPr>
        <w:spacing w:before="120" w:after="120" w:line="240" w:lineRule="auto"/>
        <w:jc w:val="both"/>
        <w:rPr>
          <w:rFonts w:ascii="Times New Roman" w:hAnsi="Times New Roman"/>
          <w:b/>
          <w:sz w:val="28"/>
          <w:szCs w:val="24"/>
          <w:lang w:val="en-US"/>
        </w:rPr>
      </w:pPr>
      <w:r w:rsidRPr="00F703CB">
        <w:rPr>
          <w:rFonts w:ascii="Times New Roman" w:hAnsi="Times New Roman"/>
          <w:b/>
          <w:sz w:val="28"/>
          <w:szCs w:val="24"/>
          <w:lang w:val="en-US"/>
        </w:rPr>
        <w:t>REGIONAL MEDICAL WASTE MANAGEMENT SOLUTION: MODEL OF BOLU-DUZCE-SAKARYA</w:t>
      </w:r>
    </w:p>
    <w:p w:rsidR="001F5FA8" w:rsidRPr="00D6441B" w:rsidRDefault="001F5FA8" w:rsidP="001F5FA8">
      <w:pPr>
        <w:spacing w:before="120" w:after="120" w:line="240" w:lineRule="auto"/>
        <w:jc w:val="both"/>
        <w:rPr>
          <w:rFonts w:ascii="Times New Roman" w:hAnsi="Times New Roman"/>
          <w:b/>
          <w:sz w:val="24"/>
          <w:szCs w:val="24"/>
          <w:lang w:val="en-US"/>
        </w:rPr>
      </w:pPr>
    </w:p>
    <w:p w:rsidR="001F5FA8" w:rsidRPr="00D6441B" w:rsidRDefault="001F5FA8" w:rsidP="001F5FA8">
      <w:pPr>
        <w:spacing w:before="120" w:after="120" w:line="240" w:lineRule="auto"/>
        <w:jc w:val="both"/>
        <w:rPr>
          <w:rFonts w:ascii="Times New Roman" w:hAnsi="Times New Roman"/>
          <w:b/>
          <w:sz w:val="24"/>
          <w:szCs w:val="24"/>
          <w:lang w:val="en-US"/>
        </w:rPr>
      </w:pPr>
      <w:r w:rsidRPr="00D6441B">
        <w:rPr>
          <w:rFonts w:ascii="Times New Roman" w:hAnsi="Times New Roman"/>
          <w:b/>
          <w:sz w:val="24"/>
          <w:szCs w:val="24"/>
          <w:lang w:val="en-US"/>
        </w:rPr>
        <w:t>Abstract</w:t>
      </w:r>
    </w:p>
    <w:p w:rsidR="001F5FA8" w:rsidRPr="00D6441B" w:rsidRDefault="001F5FA8" w:rsidP="001F5FA8">
      <w:pPr>
        <w:spacing w:before="120" w:after="120" w:line="240" w:lineRule="auto"/>
        <w:jc w:val="both"/>
        <w:rPr>
          <w:rFonts w:ascii="Times New Roman" w:hAnsi="Times New Roman"/>
          <w:sz w:val="24"/>
          <w:szCs w:val="24"/>
          <w:lang w:val="en-US"/>
        </w:rPr>
      </w:pPr>
      <w:r w:rsidRPr="00D6441B">
        <w:rPr>
          <w:rFonts w:ascii="Times New Roman" w:hAnsi="Times New Roman"/>
          <w:sz w:val="24"/>
          <w:szCs w:val="24"/>
          <w:lang w:val="en-US"/>
        </w:rPr>
        <w:t>Most important factor for choosing medical waste treatment technology and methods is amount of waste. The amount of waste is effect capacity of the system, and all options. When amount of waste is less, generally treatment cost (unit cost) of medical waste rises, so it negatively affects system. To avoid this problem, municipality can come together to treat their medical wastes. One of these unions is Bolu and Duzce cities and Sakarya Metropolitan city came together to make medical waste management plant. In this plant, Bolu, Duzce and Sakarya cities’ all municipalities are transported medical waste to Sakarya Metropolitan Medical waste sterilization plant to sterilize. The medical waste management system established for collection, transportation and disposal steps, and the system described the amount of waste disposed in this region. The system records the formation rates in Bolu 0.73 kg/person-year and 0.40 kg/bed-days, in Duzce 0.59 kg/person-year and 0.60 kg/bed-days, in Sakarya, 0.59 kg/person-year and 0.83 kg/bed-days and generally, 0.61 kg/person-year and 0.63 kg/bed-days was identified.</w:t>
      </w:r>
    </w:p>
    <w:p w:rsidR="001F5FA8" w:rsidRPr="00D6441B" w:rsidRDefault="001F5FA8" w:rsidP="001F5FA8">
      <w:pPr>
        <w:spacing w:before="120" w:after="120" w:line="240" w:lineRule="auto"/>
        <w:jc w:val="both"/>
        <w:rPr>
          <w:rFonts w:ascii="Times New Roman" w:hAnsi="Times New Roman"/>
          <w:i/>
          <w:sz w:val="24"/>
          <w:szCs w:val="24"/>
          <w:lang w:val="en-US"/>
        </w:rPr>
      </w:pPr>
      <w:r w:rsidRPr="00D6441B">
        <w:rPr>
          <w:rFonts w:ascii="Times New Roman" w:hAnsi="Times New Roman"/>
          <w:b/>
          <w:i/>
          <w:sz w:val="24"/>
          <w:szCs w:val="24"/>
          <w:lang w:val="en-US"/>
        </w:rPr>
        <w:t>Keywords</w:t>
      </w:r>
      <w:r w:rsidRPr="00D6441B">
        <w:rPr>
          <w:rFonts w:ascii="Times New Roman" w:hAnsi="Times New Roman"/>
          <w:i/>
          <w:sz w:val="24"/>
          <w:szCs w:val="24"/>
          <w:lang w:val="en-US"/>
        </w:rPr>
        <w:t xml:space="preserve">: Bolu, Duzce, Sakarya, </w:t>
      </w:r>
      <w:r>
        <w:rPr>
          <w:rFonts w:ascii="Times New Roman" w:hAnsi="Times New Roman"/>
          <w:i/>
          <w:sz w:val="24"/>
          <w:szCs w:val="24"/>
          <w:lang w:val="en-US"/>
        </w:rPr>
        <w:t>s</w:t>
      </w:r>
      <w:r w:rsidRPr="00D6441B">
        <w:rPr>
          <w:rFonts w:ascii="Times New Roman" w:hAnsi="Times New Roman"/>
          <w:i/>
          <w:sz w:val="24"/>
          <w:szCs w:val="24"/>
          <w:lang w:val="en-US"/>
        </w:rPr>
        <w:t xml:space="preserve">terilization, </w:t>
      </w:r>
      <w:r>
        <w:rPr>
          <w:rFonts w:ascii="Times New Roman" w:hAnsi="Times New Roman"/>
          <w:i/>
          <w:sz w:val="24"/>
          <w:szCs w:val="24"/>
          <w:lang w:val="en-US"/>
        </w:rPr>
        <w:t>m</w:t>
      </w:r>
      <w:r w:rsidRPr="00D6441B">
        <w:rPr>
          <w:rFonts w:ascii="Times New Roman" w:hAnsi="Times New Roman"/>
          <w:i/>
          <w:sz w:val="24"/>
          <w:szCs w:val="24"/>
          <w:lang w:val="en-US"/>
        </w:rPr>
        <w:t>edical waste</w:t>
      </w:r>
    </w:p>
    <w:p w:rsidR="00FB192F" w:rsidRDefault="00FB192F" w:rsidP="001F5FA8">
      <w:pPr>
        <w:pStyle w:val="Heading1"/>
        <w:keepNext w:val="0"/>
        <w:spacing w:before="120" w:after="120" w:line="240" w:lineRule="auto"/>
        <w:jc w:val="both"/>
        <w:rPr>
          <w:rFonts w:ascii="Times New Roman" w:hAnsi="Times New Roman"/>
          <w:color w:val="000000" w:themeColor="text1"/>
          <w:sz w:val="24"/>
          <w:szCs w:val="24"/>
        </w:rPr>
        <w:sectPr w:rsidR="00FB192F" w:rsidSect="00E230BE">
          <w:type w:val="continuous"/>
          <w:pgSz w:w="11906" w:h="16838"/>
          <w:pgMar w:top="1417" w:right="849" w:bottom="1417" w:left="1134" w:header="708" w:footer="340" w:gutter="0"/>
          <w:cols w:space="708"/>
          <w:docGrid w:linePitch="360"/>
        </w:sectPr>
      </w:pPr>
    </w:p>
    <w:p w:rsidR="001F5FA8" w:rsidRPr="00FB192F" w:rsidRDefault="001F5FA8" w:rsidP="001F5FA8">
      <w:pPr>
        <w:pStyle w:val="Heading1"/>
        <w:keepNext w:val="0"/>
        <w:spacing w:before="120" w:after="120" w:line="240" w:lineRule="auto"/>
        <w:jc w:val="both"/>
        <w:rPr>
          <w:rFonts w:ascii="Times New Roman" w:hAnsi="Times New Roman"/>
          <w:color w:val="000000" w:themeColor="text1"/>
          <w:sz w:val="24"/>
          <w:szCs w:val="24"/>
        </w:rPr>
      </w:pPr>
      <w:r w:rsidRPr="00FB192F">
        <w:rPr>
          <w:rFonts w:ascii="Times New Roman" w:hAnsi="Times New Roman"/>
          <w:color w:val="000000" w:themeColor="text1"/>
          <w:sz w:val="24"/>
          <w:szCs w:val="24"/>
        </w:rPr>
        <w:lastRenderedPageBreak/>
        <w:t>GİRİŞ</w:t>
      </w:r>
    </w:p>
    <w:p w:rsidR="001F5FA8" w:rsidRPr="00D6441B" w:rsidRDefault="001F5FA8"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 xml:space="preserve">Ülkemizde tıbbî atıklar, 22/07/2005 tarih ve 25883 sayılı Resmi Gazetede yayımlanarak yürürlüğe giren </w:t>
      </w:r>
      <w:r w:rsidRPr="00D6441B">
        <w:rPr>
          <w:rFonts w:ascii="Times New Roman" w:hAnsi="Times New Roman"/>
          <w:i/>
          <w:sz w:val="24"/>
          <w:szCs w:val="24"/>
        </w:rPr>
        <w:t>Tıbbî Atıkların Kontrolü Yönetmeliği</w:t>
      </w:r>
      <w:r w:rsidRPr="00D6441B">
        <w:rPr>
          <w:rFonts w:ascii="Times New Roman" w:hAnsi="Times New Roman"/>
          <w:sz w:val="24"/>
          <w:szCs w:val="24"/>
        </w:rPr>
        <w:t>ne göre yönetilmektedir (ÇOB, 2005). Yönetmeliğe göre;</w:t>
      </w:r>
    </w:p>
    <w:p w:rsidR="001F5FA8" w:rsidRPr="00D6441B" w:rsidRDefault="001F5FA8" w:rsidP="001F5FA8">
      <w:pPr>
        <w:pStyle w:val="BodyText"/>
        <w:numPr>
          <w:ilvl w:val="0"/>
          <w:numId w:val="13"/>
        </w:numPr>
        <w:spacing w:before="120" w:line="240" w:lineRule="auto"/>
        <w:ind w:left="0" w:firstLine="0"/>
        <w:jc w:val="both"/>
        <w:rPr>
          <w:rFonts w:ascii="Times New Roman" w:hAnsi="Times New Roman"/>
          <w:sz w:val="24"/>
          <w:szCs w:val="24"/>
        </w:rPr>
      </w:pPr>
      <w:r w:rsidRPr="00D6441B">
        <w:rPr>
          <w:rFonts w:ascii="Times New Roman" w:hAnsi="Times New Roman"/>
          <w:sz w:val="24"/>
          <w:szCs w:val="24"/>
        </w:rPr>
        <w:t>Tıbbî Atık: Ünitelerden kaynaklanan, yönetmelik EK-2’de C, D ve E grupları altında yer alan enfeksiyöz, patolojik ve kesici-delici atıkları,</w:t>
      </w:r>
    </w:p>
    <w:p w:rsidR="001F5FA8" w:rsidRPr="00D6441B" w:rsidRDefault="001F5FA8" w:rsidP="001F5FA8">
      <w:pPr>
        <w:pStyle w:val="BodyText"/>
        <w:numPr>
          <w:ilvl w:val="0"/>
          <w:numId w:val="13"/>
        </w:numPr>
        <w:spacing w:before="120" w:line="240" w:lineRule="auto"/>
        <w:ind w:left="0" w:firstLine="0"/>
        <w:jc w:val="both"/>
        <w:rPr>
          <w:rFonts w:ascii="Times New Roman" w:hAnsi="Times New Roman"/>
          <w:sz w:val="24"/>
          <w:szCs w:val="24"/>
        </w:rPr>
      </w:pPr>
      <w:r w:rsidRPr="00D6441B">
        <w:rPr>
          <w:rFonts w:ascii="Times New Roman" w:hAnsi="Times New Roman"/>
          <w:sz w:val="24"/>
          <w:szCs w:val="24"/>
        </w:rPr>
        <w:t>Enfeksiyöz Atık: Enfeksiyon yapıcı etkenleri taşıdığı bilinen veya taşıması muhtemel başta kan ve kan ürünleri olmak üzere her türlü vücut sıvıları ile insan dokuları, organları, anatomik parçalar, otopsi materyali, plasenta, fetus ve diğer patolojik materyali; bu tür materyal ile bulaşmış eldiven, örtü, çarşaf, bandaj, flaster, tamponlar, eküvyon ve benzeri atıkları; hemodiyaliz ünitesi ve karantina altındaki hastaların vücut çıkartılarını; bakteri ve virüs tutucu hava filtrelerini; enfeksiyöz ajanların laboratuvar kültürlerini ve kültür stoklarını; araştırma amacı ile kullanılan enfekte deney hayvanlarının leşleri ile enfekte hayvanlara ve çıkartılarına temas etmiş her türlü malzemeyi, veterinerlik hizmetlerinden kaynaklanan atıkları,</w:t>
      </w:r>
    </w:p>
    <w:p w:rsidR="001F5FA8" w:rsidRPr="00D6441B" w:rsidRDefault="001F5FA8" w:rsidP="001F5FA8">
      <w:pPr>
        <w:pStyle w:val="BodyText"/>
        <w:numPr>
          <w:ilvl w:val="0"/>
          <w:numId w:val="13"/>
        </w:numPr>
        <w:spacing w:before="120" w:line="240" w:lineRule="auto"/>
        <w:ind w:left="0" w:firstLine="0"/>
        <w:jc w:val="both"/>
        <w:rPr>
          <w:rFonts w:ascii="Times New Roman" w:hAnsi="Times New Roman"/>
          <w:sz w:val="24"/>
          <w:szCs w:val="24"/>
        </w:rPr>
      </w:pPr>
      <w:r w:rsidRPr="00D6441B">
        <w:rPr>
          <w:rFonts w:ascii="Times New Roman" w:hAnsi="Times New Roman"/>
          <w:sz w:val="24"/>
          <w:szCs w:val="24"/>
        </w:rPr>
        <w:t>Patolojik Atık: Cerrahi girişim, otopsi veya anatomi çalışması sonucu ortaya çıkan dokuları, organları, vücut parçalarını, insan fetusunu ve hayvan cesetlerini,</w:t>
      </w:r>
    </w:p>
    <w:p w:rsidR="001F5FA8" w:rsidRPr="00D6441B" w:rsidRDefault="001F5FA8" w:rsidP="001F5FA8">
      <w:pPr>
        <w:pStyle w:val="BodyText"/>
        <w:numPr>
          <w:ilvl w:val="0"/>
          <w:numId w:val="13"/>
        </w:numPr>
        <w:spacing w:before="120" w:line="240" w:lineRule="auto"/>
        <w:ind w:left="0" w:firstLine="0"/>
        <w:jc w:val="both"/>
        <w:rPr>
          <w:rFonts w:ascii="Times New Roman" w:hAnsi="Times New Roman"/>
          <w:sz w:val="24"/>
          <w:szCs w:val="24"/>
        </w:rPr>
      </w:pPr>
      <w:r w:rsidRPr="00D6441B">
        <w:rPr>
          <w:rFonts w:ascii="Times New Roman" w:hAnsi="Times New Roman"/>
          <w:sz w:val="24"/>
          <w:szCs w:val="24"/>
        </w:rPr>
        <w:t>Kesici-Delici Atık: Şırınga, enjektör ve diğer tüm deri altı girişim iğneleri, lanset, bisturi, bıçak, serum seti iğnesi, cerrahi sütur iğneleri, biyopsi iğneleri, intraket, kırık cam, ampul, lam-lamel, kırılmış cam tüp ve petri kapları gibi batma, delme, sıyrık ve yaralanmalara neden olabilecek atıkları ifade etmektedir.</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bCs/>
          <w:sz w:val="24"/>
          <w:szCs w:val="24"/>
        </w:rPr>
        <w:t xml:space="preserve">Bolu ilinde toplanan tıbbî atıklar; yönetmelikten sonra yönetmelik hükümleri uyarınca </w:t>
      </w:r>
      <w:r w:rsidRPr="00D6441B">
        <w:rPr>
          <w:rFonts w:ascii="Times New Roman" w:hAnsi="Times New Roman"/>
          <w:sz w:val="24"/>
          <w:szCs w:val="24"/>
        </w:rPr>
        <w:t xml:space="preserve">diğer atıklardan ayrı olarak </w:t>
      </w:r>
      <w:r w:rsidRPr="00D6441B">
        <w:rPr>
          <w:rFonts w:ascii="Times New Roman" w:hAnsi="Times New Roman"/>
          <w:bCs/>
          <w:sz w:val="24"/>
          <w:szCs w:val="24"/>
        </w:rPr>
        <w:t xml:space="preserve">tıbbî atık poşetlerinde biriktirilmeye ve </w:t>
      </w:r>
      <w:r w:rsidRPr="00D6441B">
        <w:rPr>
          <w:rFonts w:ascii="Times New Roman" w:hAnsi="Times New Roman"/>
          <w:sz w:val="24"/>
          <w:szCs w:val="24"/>
        </w:rPr>
        <w:t xml:space="preserve">tıbbî atık taşıma aracı ile toplatılmaya başlanmıştır. Yataklı tedavi kurumlarının tıbbî atıkları 2010 yılı Mayıs ayına kadar diğer atık türlerinden ayrı </w:t>
      </w:r>
      <w:r w:rsidRPr="00D6441B">
        <w:rPr>
          <w:rFonts w:ascii="Times New Roman" w:hAnsi="Times New Roman"/>
          <w:sz w:val="24"/>
          <w:szCs w:val="24"/>
        </w:rPr>
        <w:lastRenderedPageBreak/>
        <w:t>olarak toplanmakta ancak diğer atık türleri ile birlikte depolanmaktaydı. Aynı şekilde sağlık ocaklarının tıbbî atıkları da 2010 yılı Mayıs ayına kadar diğer atıklarla karışık toplanmakta ve depolanmaktaydı (ÇOB, 2007a;2008a;2009a;2010a; ERA, 2011).</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bCs/>
          <w:sz w:val="24"/>
          <w:szCs w:val="24"/>
        </w:rPr>
        <w:t>Düzce ilinde toplanan tıbbî atıklar;</w:t>
      </w:r>
      <w:r w:rsidRPr="00D6441B">
        <w:rPr>
          <w:rFonts w:ascii="Times New Roman" w:hAnsi="Times New Roman"/>
          <w:b/>
          <w:bCs/>
          <w:sz w:val="24"/>
          <w:szCs w:val="24"/>
        </w:rPr>
        <w:t xml:space="preserve"> </w:t>
      </w:r>
      <w:r w:rsidRPr="00D6441B">
        <w:rPr>
          <w:rFonts w:ascii="Times New Roman" w:hAnsi="Times New Roman"/>
          <w:bCs/>
          <w:sz w:val="24"/>
          <w:szCs w:val="24"/>
        </w:rPr>
        <w:t xml:space="preserve">yönetmelikten sonra yönetmelik hükümleri uyarınca </w:t>
      </w:r>
      <w:r w:rsidRPr="00D6441B">
        <w:rPr>
          <w:rFonts w:ascii="Times New Roman" w:hAnsi="Times New Roman"/>
          <w:sz w:val="24"/>
          <w:szCs w:val="24"/>
        </w:rPr>
        <w:t xml:space="preserve">diğer atıklardan ayrı olarak </w:t>
      </w:r>
      <w:r w:rsidRPr="00D6441B">
        <w:rPr>
          <w:rFonts w:ascii="Times New Roman" w:hAnsi="Times New Roman"/>
          <w:bCs/>
          <w:sz w:val="24"/>
          <w:szCs w:val="24"/>
        </w:rPr>
        <w:t xml:space="preserve">tıbbî atık poşetlerinde biriktirilmeye ve </w:t>
      </w:r>
      <w:r w:rsidRPr="00D6441B">
        <w:rPr>
          <w:rFonts w:ascii="Times New Roman" w:hAnsi="Times New Roman"/>
          <w:sz w:val="24"/>
          <w:szCs w:val="24"/>
        </w:rPr>
        <w:t>tıbbî atık taşıma aracı ile toplatılmaya başlanmış ancak vahşi olarak depolanmaya devam edilmiştir. Tıbbî atıklar 2008 yılı Kasım ayından 2009 yılı sonuna kadar Kocaeli ilinde bulunan tehlikeli atık bertaraf tesisine yakılarak bertaraf edilmesi için gönderilmiştir. Bu dönemde tıbbî atıklar 65 L kapasiteli; vida kapaklı; kulplu; delinmeye, patlamaya, sızdırmaya dayanıklı; tıbbî atıklarla beraber bertaraf edilen; tek kullanımlık tıbbî atık konteynırları ile biriktirilmekte ve taşınmaktaydı (ÇOB, 2007b;2008b;2009b;2010b; ERA, 2011).</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Sakarya ilinde toplanan tıbbî atıklar; 2006 yılına kadar Gazeller mevkiindeki Tıbbî Atık Yakma Ünitesinde, 2010 yılına kadar da Kocaeli ilinde bulunan tehlikeli atık bertaraf tesisine (İZAYDAŞ) yakılarak bertaraf edilmesi için gönderilmekteydi. Tıbbî atıklar tıpkı Düzce ilinde olduğu gibi 65 L kapasiteli; vida kapaklı; kulplu; delinmeye, patlamaya, sızdırmaya dayanıklı; tıbbî atıklarla beraber bertaraf edilen; tek kullanımlık tıbbî atık konteynırları ile biriktirilmekte ve taşınmakta idi. Sağlık birimlerinin ihtiyacı nispetinde boş atık konteynırı teslim edilmekte, atıklar bu konteynırlarla toplandıklarında aynı sayıda boş konteynır sağlık ünitesine geri verilmekte idi. Konteynırların içerisine ise Tıbbî Atıkların Kontrolü Yönetmeliğinde belirtilen kalınlıktaki kırmızı renkli tıbbî atık poşetleri konulmaktaydı. Sistemde kullanılan tıbbî atık konteynırları Şekil 1’de gösterilmektedir (ÇOB, 2007c;2008c;2009c;2010c; SBB, 2009; ERA, 2011).</w:t>
      </w:r>
    </w:p>
    <w:tbl>
      <w:tblPr>
        <w:tblW w:w="0" w:type="auto"/>
        <w:tblLook w:val="04A0" w:firstRow="1" w:lastRow="0" w:firstColumn="1" w:lastColumn="0" w:noHBand="0" w:noVBand="1"/>
      </w:tblPr>
      <w:tblGrid>
        <w:gridCol w:w="1626"/>
        <w:gridCol w:w="1656"/>
      </w:tblGrid>
      <w:tr w:rsidR="001F5FA8" w:rsidRPr="00D6441B" w:rsidTr="008D1314">
        <w:trPr>
          <w:trHeight w:val="1928"/>
        </w:trPr>
        <w:tc>
          <w:tcPr>
            <w:tcW w:w="0" w:type="auto"/>
            <w:shd w:val="clear" w:color="auto" w:fill="auto"/>
          </w:tcPr>
          <w:p w:rsidR="001F5FA8" w:rsidRPr="00D6441B" w:rsidRDefault="001F5FA8" w:rsidP="008D1314">
            <w:pPr>
              <w:pStyle w:val="BodyText"/>
              <w:spacing w:before="120" w:line="240" w:lineRule="auto"/>
              <w:rPr>
                <w:rFonts w:ascii="Times New Roman" w:hAnsi="Times New Roman"/>
                <w:sz w:val="24"/>
                <w:szCs w:val="24"/>
              </w:rPr>
            </w:pPr>
            <w:r>
              <w:rPr>
                <w:rFonts w:ascii="Times New Roman" w:hAnsi="Times New Roman"/>
                <w:noProof/>
                <w:sz w:val="24"/>
                <w:szCs w:val="24"/>
                <w:lang w:val="en-AU" w:eastAsia="en-AU"/>
              </w:rPr>
              <w:lastRenderedPageBreak/>
              <w:drawing>
                <wp:inline distT="0" distB="0" distL="0" distR="0">
                  <wp:extent cx="867410" cy="1296035"/>
                  <wp:effectExtent l="19050" t="0" r="8890" b="0"/>
                  <wp:docPr id="251"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 cstate="print"/>
                          <a:srcRect/>
                          <a:stretch>
                            <a:fillRect/>
                          </a:stretch>
                        </pic:blipFill>
                        <pic:spPr bwMode="auto">
                          <a:xfrm>
                            <a:off x="0" y="0"/>
                            <a:ext cx="867410" cy="1296035"/>
                          </a:xfrm>
                          <a:prstGeom prst="rect">
                            <a:avLst/>
                          </a:prstGeom>
                          <a:noFill/>
                        </pic:spPr>
                      </pic:pic>
                    </a:graphicData>
                  </a:graphic>
                </wp:inline>
              </w:drawing>
            </w:r>
          </w:p>
        </w:tc>
        <w:tc>
          <w:tcPr>
            <w:tcW w:w="0" w:type="auto"/>
            <w:shd w:val="clear" w:color="auto" w:fill="auto"/>
          </w:tcPr>
          <w:p w:rsidR="001F5FA8" w:rsidRPr="00D6441B" w:rsidRDefault="001F5FA8" w:rsidP="008D1314">
            <w:pPr>
              <w:pStyle w:val="BodyText"/>
              <w:spacing w:before="120" w:line="240" w:lineRule="auto"/>
              <w:jc w:val="both"/>
              <w:rPr>
                <w:rFonts w:ascii="Times New Roman" w:hAnsi="Times New Roman"/>
                <w:sz w:val="24"/>
                <w:szCs w:val="24"/>
              </w:rPr>
            </w:pPr>
            <w:r>
              <w:rPr>
                <w:rFonts w:ascii="Times New Roman" w:hAnsi="Times New Roman"/>
                <w:noProof/>
                <w:sz w:val="24"/>
                <w:szCs w:val="24"/>
                <w:lang w:val="en-AU" w:eastAsia="en-AU"/>
              </w:rPr>
              <w:drawing>
                <wp:inline distT="0" distB="0" distL="0" distR="0">
                  <wp:extent cx="885825" cy="1295400"/>
                  <wp:effectExtent l="19050" t="0" r="9525" b="0"/>
                  <wp:docPr id="135" name="Resim 2" descr="Açıklama: 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DSC_0011"/>
                          <pic:cNvPicPr>
                            <a:picLocks noChangeAspect="1" noChangeArrowheads="1"/>
                          </pic:cNvPicPr>
                        </pic:nvPicPr>
                        <pic:blipFill>
                          <a:blip r:embed="rId56" cstate="print"/>
                          <a:srcRect/>
                          <a:stretch>
                            <a:fillRect/>
                          </a:stretch>
                        </pic:blipFill>
                        <pic:spPr bwMode="auto">
                          <a:xfrm>
                            <a:off x="0" y="0"/>
                            <a:ext cx="885825" cy="1295400"/>
                          </a:xfrm>
                          <a:prstGeom prst="rect">
                            <a:avLst/>
                          </a:prstGeom>
                          <a:noFill/>
                          <a:ln w="9525">
                            <a:noFill/>
                            <a:miter lim="800000"/>
                            <a:headEnd/>
                            <a:tailEnd/>
                          </a:ln>
                        </pic:spPr>
                      </pic:pic>
                    </a:graphicData>
                  </a:graphic>
                </wp:inline>
              </w:drawing>
            </w:r>
          </w:p>
        </w:tc>
      </w:tr>
    </w:tbl>
    <w:p w:rsidR="001F5FA8" w:rsidRPr="00D6441B" w:rsidRDefault="001F5FA8" w:rsidP="001F5FA8">
      <w:pPr>
        <w:pStyle w:val="ekilYazs"/>
        <w:spacing w:before="120" w:after="120"/>
        <w:jc w:val="center"/>
        <w:rPr>
          <w:szCs w:val="24"/>
        </w:rPr>
      </w:pPr>
      <w:r w:rsidRPr="00D6441B">
        <w:rPr>
          <w:b/>
          <w:szCs w:val="24"/>
        </w:rPr>
        <w:t>Şekil 1</w:t>
      </w:r>
      <w:r w:rsidRPr="00D6441B">
        <w:rPr>
          <w:szCs w:val="24"/>
        </w:rPr>
        <w:t>. Eski sistem tıbbî atık konteynırları (SBB, 2009)</w:t>
      </w:r>
    </w:p>
    <w:p w:rsidR="001F5FA8" w:rsidRPr="00D6441B" w:rsidRDefault="001F5FA8" w:rsidP="001F5FA8">
      <w:pPr>
        <w:pStyle w:val="ekilYazs"/>
        <w:spacing w:before="120" w:after="120"/>
        <w:jc w:val="both"/>
        <w:rPr>
          <w:szCs w:val="24"/>
        </w:rPr>
      </w:pPr>
    </w:p>
    <w:p w:rsidR="001F5FA8" w:rsidRPr="00FB192F" w:rsidRDefault="001F5FA8" w:rsidP="001F5FA8">
      <w:pPr>
        <w:pStyle w:val="Heading1"/>
        <w:keepNext w:val="0"/>
        <w:spacing w:before="120" w:after="120" w:line="240" w:lineRule="auto"/>
        <w:jc w:val="both"/>
        <w:rPr>
          <w:rFonts w:ascii="Times New Roman" w:hAnsi="Times New Roman"/>
          <w:color w:val="000000" w:themeColor="text1"/>
          <w:sz w:val="24"/>
          <w:szCs w:val="24"/>
        </w:rPr>
      </w:pPr>
      <w:r w:rsidRPr="00FB192F">
        <w:rPr>
          <w:rFonts w:ascii="Times New Roman" w:hAnsi="Times New Roman"/>
          <w:color w:val="000000" w:themeColor="text1"/>
          <w:sz w:val="24"/>
          <w:szCs w:val="24"/>
        </w:rPr>
        <w:t>KURULAN YENİ TIBBÎ ATIK YÖNETİM SİSTEMİ</w:t>
      </w:r>
    </w:p>
    <w:p w:rsidR="001F5FA8" w:rsidRPr="00D6441B" w:rsidRDefault="001F5FA8"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 xml:space="preserve">2010 yılı itibari ile Sakarya Büyükşehir Belediyesi ile Bolu ve Düzce Belediyeleri </w:t>
      </w:r>
      <w:r w:rsidRPr="00D6441B">
        <w:rPr>
          <w:rFonts w:ascii="Times New Roman" w:hAnsi="Times New Roman"/>
          <w:sz w:val="24"/>
          <w:szCs w:val="24"/>
        </w:rPr>
        <w:lastRenderedPageBreak/>
        <w:t xml:space="preserve">arasında tıbbî atık konusunda bir protokol hazırlanarak yeni bir yönetim sistemi geliştirilmiştir. Geliştirilen bu sistem; Bolu, Düzce ve Sakarya il sınırları içerisinde bulunan tüm tıbbî atıkların (tüm sağlık kurum ve kuruluşları, doktor muayenehaneleri ile talep halinde evlerden kaynaklanan tıbbî atıklar da dâhil olmak üzere kentlerdeki tüm tıbbî atıklar), </w:t>
      </w:r>
      <w:r w:rsidRPr="00D6441B">
        <w:rPr>
          <w:rFonts w:ascii="Times New Roman" w:hAnsi="Times New Roman"/>
          <w:i/>
          <w:sz w:val="24"/>
          <w:szCs w:val="24"/>
        </w:rPr>
        <w:t>Tıbbî Atıkların Kontrolü Yönetmeliği</w:t>
      </w:r>
      <w:r w:rsidRPr="00D6441B">
        <w:rPr>
          <w:rFonts w:ascii="Times New Roman" w:hAnsi="Times New Roman"/>
          <w:sz w:val="24"/>
          <w:szCs w:val="24"/>
        </w:rPr>
        <w:t xml:space="preserve"> kapsamında insan ve çevre sağlığına zarar vermeden ayrı toplanması, taşınması ve tıbbî atık sterilizasyon tesisinde sterilize edildikten sonra depolanması için tıbbî atık sterilizasyon tesisi inşası ve 10 yıl süreli işletilmesi işi kapsamında kurulmuş ve faaliyete geçmiştir. Tıbbî atık toplanan alan Şekil 2’de gösterilmektedir.</w:t>
      </w:r>
    </w:p>
    <w:p w:rsidR="001F5FA8" w:rsidRPr="00D6441B" w:rsidRDefault="001F5FA8" w:rsidP="001F5FA8">
      <w:pPr>
        <w:pStyle w:val="BodyText"/>
        <w:spacing w:before="120" w:line="240" w:lineRule="auto"/>
        <w:jc w:val="both"/>
        <w:rPr>
          <w:rFonts w:ascii="Times New Roman" w:hAnsi="Times New Roman"/>
          <w:sz w:val="24"/>
          <w:szCs w:val="24"/>
        </w:rPr>
      </w:pPr>
    </w:p>
    <w:p w:rsidR="00FB192F" w:rsidRDefault="00FB192F" w:rsidP="001F5FA8">
      <w:pPr>
        <w:pStyle w:val="BodyText"/>
        <w:spacing w:before="120" w:line="240" w:lineRule="auto"/>
        <w:jc w:val="center"/>
        <w:rPr>
          <w:rFonts w:ascii="Times New Roman" w:hAnsi="Times New Roman"/>
          <w:sz w:val="24"/>
          <w:szCs w:val="24"/>
        </w:rPr>
        <w:sectPr w:rsidR="00FB192F" w:rsidSect="00E230BE">
          <w:type w:val="continuous"/>
          <w:pgSz w:w="11906" w:h="16838"/>
          <w:pgMar w:top="1417" w:right="849" w:bottom="1417" w:left="1134" w:header="708" w:footer="340" w:gutter="0"/>
          <w:cols w:num="2" w:space="708"/>
          <w:docGrid w:linePitch="360"/>
        </w:sectPr>
      </w:pPr>
    </w:p>
    <w:p w:rsidR="00FB192F" w:rsidRDefault="00FB192F" w:rsidP="001F5FA8">
      <w:pPr>
        <w:pStyle w:val="BodyText"/>
        <w:spacing w:before="120" w:line="240" w:lineRule="auto"/>
        <w:jc w:val="center"/>
        <w:rPr>
          <w:rFonts w:ascii="Times New Roman" w:hAnsi="Times New Roman"/>
          <w:noProof/>
          <w:sz w:val="24"/>
          <w:szCs w:val="24"/>
          <w:lang w:eastAsia="tr-TR"/>
        </w:rPr>
      </w:pPr>
    </w:p>
    <w:p w:rsidR="001F5FA8" w:rsidRPr="00D6441B" w:rsidRDefault="001F5FA8" w:rsidP="001F5FA8">
      <w:pPr>
        <w:pStyle w:val="BodyText"/>
        <w:spacing w:before="120" w:line="240" w:lineRule="auto"/>
        <w:jc w:val="center"/>
        <w:rPr>
          <w:rFonts w:ascii="Times New Roman" w:hAnsi="Times New Roman"/>
          <w:sz w:val="24"/>
          <w:szCs w:val="24"/>
        </w:rPr>
      </w:pPr>
      <w:r>
        <w:rPr>
          <w:rFonts w:ascii="Times New Roman" w:hAnsi="Times New Roman"/>
          <w:noProof/>
          <w:sz w:val="24"/>
          <w:szCs w:val="24"/>
          <w:lang w:val="en-AU" w:eastAsia="en-AU"/>
        </w:rPr>
        <w:drawing>
          <wp:inline distT="0" distB="0" distL="0" distR="0">
            <wp:extent cx="3371850" cy="1831024"/>
            <wp:effectExtent l="19050" t="0" r="0" b="0"/>
            <wp:docPr id="1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7" cstate="print"/>
                    <a:srcRect/>
                    <a:stretch>
                      <a:fillRect/>
                    </a:stretch>
                  </pic:blipFill>
                  <pic:spPr bwMode="auto">
                    <a:xfrm>
                      <a:off x="0" y="0"/>
                      <a:ext cx="3375264" cy="1832878"/>
                    </a:xfrm>
                    <a:prstGeom prst="rect">
                      <a:avLst/>
                    </a:prstGeom>
                    <a:noFill/>
                    <a:ln w="9525">
                      <a:noFill/>
                      <a:miter lim="800000"/>
                      <a:headEnd/>
                      <a:tailEnd/>
                    </a:ln>
                  </pic:spPr>
                </pic:pic>
              </a:graphicData>
            </a:graphic>
          </wp:inline>
        </w:drawing>
      </w:r>
    </w:p>
    <w:p w:rsidR="001F5FA8" w:rsidRPr="00D6441B" w:rsidRDefault="001F5FA8" w:rsidP="001F5FA8">
      <w:pPr>
        <w:pStyle w:val="BodyText"/>
        <w:spacing w:before="120" w:line="240" w:lineRule="auto"/>
        <w:jc w:val="center"/>
        <w:rPr>
          <w:rFonts w:ascii="Times New Roman" w:hAnsi="Times New Roman"/>
          <w:sz w:val="24"/>
          <w:szCs w:val="24"/>
        </w:rPr>
      </w:pPr>
      <w:r w:rsidRPr="00D6441B">
        <w:rPr>
          <w:rFonts w:ascii="Times New Roman" w:hAnsi="Times New Roman"/>
          <w:b/>
          <w:sz w:val="24"/>
          <w:szCs w:val="24"/>
        </w:rPr>
        <w:t>Şekil 2</w:t>
      </w:r>
      <w:r w:rsidRPr="00D6441B">
        <w:rPr>
          <w:rFonts w:ascii="Times New Roman" w:hAnsi="Times New Roman"/>
          <w:sz w:val="24"/>
          <w:szCs w:val="24"/>
        </w:rPr>
        <w:t>. Bolu-Düzce-Sakarya tıbbî atık toplama alanı</w:t>
      </w:r>
    </w:p>
    <w:p w:rsidR="00FB192F" w:rsidRDefault="00FB192F" w:rsidP="001F5FA8">
      <w:pPr>
        <w:pStyle w:val="BodyText"/>
        <w:spacing w:before="120" w:line="240" w:lineRule="auto"/>
        <w:jc w:val="both"/>
        <w:rPr>
          <w:rFonts w:ascii="Times New Roman" w:hAnsi="Times New Roman"/>
          <w:sz w:val="24"/>
          <w:szCs w:val="24"/>
        </w:rPr>
        <w:sectPr w:rsidR="00FB192F" w:rsidSect="00FB192F">
          <w:type w:val="continuous"/>
          <w:pgSz w:w="11906" w:h="16838"/>
          <w:pgMar w:top="1417" w:right="849" w:bottom="1417" w:left="1134" w:header="708" w:footer="708" w:gutter="0"/>
          <w:cols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i/>
          <w:sz w:val="24"/>
          <w:szCs w:val="24"/>
        </w:rPr>
      </w:pPr>
      <w:r w:rsidRPr="00D6441B">
        <w:rPr>
          <w:rFonts w:ascii="Times New Roman" w:hAnsi="Times New Roman"/>
          <w:sz w:val="24"/>
          <w:szCs w:val="24"/>
        </w:rPr>
        <w:t xml:space="preserve">Kurulan sistem üç adımdan oluşmaktadır. Bu adımlar; </w:t>
      </w:r>
      <w:r w:rsidRPr="00D6441B">
        <w:rPr>
          <w:rFonts w:ascii="Times New Roman" w:hAnsi="Times New Roman"/>
          <w:i/>
          <w:sz w:val="24"/>
          <w:szCs w:val="24"/>
        </w:rPr>
        <w:t xml:space="preserve">1-Tıbbî Atıkların Biriktirilmesi-Toplanması, 2-Tıbbî Atıkların Taşınması ve 3-Tıbbî Atıkların Sterilizasyonu ve Bertarafı </w:t>
      </w:r>
      <w:r w:rsidRPr="00D6441B">
        <w:rPr>
          <w:rFonts w:ascii="Times New Roman" w:hAnsi="Times New Roman"/>
          <w:sz w:val="24"/>
          <w:szCs w:val="24"/>
        </w:rPr>
        <w:t>adımlarıdır. Sistemin iş akış şeması Şekil 3’de gösterilmektedir.</w:t>
      </w:r>
    </w:p>
    <w:p w:rsidR="00FB192F"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 xml:space="preserve">Bu sistemde tıbbî atıklar; içerisine yönetmelikte özellikleri sıralanan tıbbî atık poşetleri konulmuş, üzerlerinde nereye ait olduğu bilgisinin yer aldığı barkotları ile “Uluslararası Biyotehlike” amblemi ve “DİKKAT! TIBBÎ ATIK” ibaresi yer alan, dezenfekte edildikten </w:t>
      </w:r>
    </w:p>
    <w:p w:rsidR="00FB192F" w:rsidRDefault="00FB192F" w:rsidP="001F5FA8">
      <w:pPr>
        <w:pStyle w:val="BodyText"/>
        <w:spacing w:before="120" w:line="240" w:lineRule="auto"/>
        <w:jc w:val="both"/>
        <w:rPr>
          <w:rFonts w:ascii="Times New Roman" w:hAnsi="Times New Roman"/>
          <w:sz w:val="24"/>
          <w:szCs w:val="24"/>
        </w:rPr>
      </w:pPr>
    </w:p>
    <w:p w:rsidR="00F55172"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 xml:space="preserve">sonra defalarca tekrar kullanılabilir, turuncu renkli, sızdırmaz, 70 L’lik tıbbî atık kovalarının </w:t>
      </w:r>
    </w:p>
    <w:p w:rsidR="00F55172" w:rsidRDefault="00F55172"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içerisinde biriktirilmekte ve toplanmaktadır. Tıbbî atık poşetleri dolup ağızları bağlandıktan sonra kovaların özel kilitleme mekanizmasıyla kilitlenebilir olması sayesinde taşıma işlemi patlamaya, dökülmeye ve sızmaya karşı güvenli bir şekilde gerçekleştirilmektedir. Dolu tıbbî atık kovalarının elektronik hassas teraziler ile tartılmasının yanında metal ve radyoaktivite ölçerlerle de kontrol edilmesi sayesinde tıbbî atıkların içerisine radyoaktif madde ve platin gibi metal parçaların karışmasının önüne geçilmektedir. Tıbbî atıkların toplandıkları kovalar Şekil 4’de, tıbbî atık kovalarının taşıma araçlarına yerleştirilmesi ise Şekil 5’de gösterilmektedir.</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lastRenderedPageBreak/>
        <w:t xml:space="preserve">Barkot ve araç takip sistemli çevrimiçi izlenebilir otomasyon sistemi ile atığın kaynağından bertarafına kadar izlediği aşamaların tümü ve atık bilgileri (kaynağı, miktarı vb) ilgili tüm taraflar (Bakanlık, Belediyeler, Atık üreticileri, Toplayıcı/Bertaraf edici) tarafından çevrimiçi erişilebilmekte ve </w:t>
      </w:r>
      <w:r w:rsidRPr="00D6441B">
        <w:rPr>
          <w:rFonts w:ascii="Times New Roman" w:hAnsi="Times New Roman"/>
          <w:sz w:val="24"/>
          <w:szCs w:val="24"/>
        </w:rPr>
        <w:lastRenderedPageBreak/>
        <w:t xml:space="preserve">izlenebilmektedir. Bu sayede kayıtların güvenli </w:t>
      </w:r>
      <w:r w:rsidR="00FB192F">
        <w:rPr>
          <w:rFonts w:ascii="Times New Roman" w:hAnsi="Times New Roman"/>
          <w:noProof/>
          <w:sz w:val="24"/>
          <w:szCs w:val="24"/>
          <w:lang w:val="en-AU" w:eastAsia="en-AU"/>
        </w:rPr>
        <w:drawing>
          <wp:anchor distT="0" distB="0" distL="114300" distR="114300" simplePos="0" relativeHeight="251674624" behindDoc="0" locked="0" layoutInCell="1" allowOverlap="1">
            <wp:simplePos x="0" y="0"/>
            <wp:positionH relativeFrom="column">
              <wp:posOffset>937260</wp:posOffset>
            </wp:positionH>
            <wp:positionV relativeFrom="paragraph">
              <wp:posOffset>1319530</wp:posOffset>
            </wp:positionV>
            <wp:extent cx="4181475" cy="6838950"/>
            <wp:effectExtent l="19050" t="0" r="9525" b="0"/>
            <wp:wrapTopAndBottom/>
            <wp:docPr id="250"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8" cstate="print"/>
                    <a:srcRect/>
                    <a:stretch>
                      <a:fillRect/>
                    </a:stretch>
                  </pic:blipFill>
                  <pic:spPr bwMode="auto">
                    <a:xfrm>
                      <a:off x="0" y="0"/>
                      <a:ext cx="4181475" cy="6838950"/>
                    </a:xfrm>
                    <a:prstGeom prst="rect">
                      <a:avLst/>
                    </a:prstGeom>
                    <a:noFill/>
                  </pic:spPr>
                </pic:pic>
              </a:graphicData>
            </a:graphic>
          </wp:anchor>
        </w:drawing>
      </w:r>
      <w:r w:rsidRPr="00D6441B">
        <w:rPr>
          <w:rFonts w:ascii="Times New Roman" w:hAnsi="Times New Roman"/>
          <w:sz w:val="24"/>
          <w:szCs w:val="24"/>
        </w:rPr>
        <w:t>bir şekilde tutulması ve güvenli tutulmuş kayıtlar ile de geleceğe yönelik doğru öngörülerde bulunabilme imkânı sağlanabilmektedir. Tıbbî atık kovalarının barkot okutma işlemi Şekil 6’da gösterilmektedir.</w:t>
      </w:r>
    </w:p>
    <w:p w:rsidR="00FB192F" w:rsidRDefault="00FB192F" w:rsidP="001F5FA8">
      <w:pPr>
        <w:pStyle w:val="BodyText"/>
        <w:spacing w:before="120" w:line="240" w:lineRule="auto"/>
        <w:jc w:val="center"/>
        <w:rPr>
          <w:rFonts w:ascii="Times New Roman" w:hAnsi="Times New Roman"/>
          <w:b/>
          <w:sz w:val="24"/>
          <w:szCs w:val="24"/>
        </w:rPr>
        <w:sectPr w:rsidR="00FB192F" w:rsidSect="00E230BE">
          <w:type w:val="continuous"/>
          <w:pgSz w:w="11906" w:h="16838"/>
          <w:pgMar w:top="1417" w:right="849" w:bottom="1417" w:left="1134" w:header="708" w:footer="340" w:gutter="0"/>
          <w:cols w:num="2" w:space="708"/>
          <w:docGrid w:linePitch="360"/>
        </w:sectPr>
      </w:pPr>
      <w:bookmarkStart w:id="39" w:name="_Toc193794692"/>
      <w:bookmarkStart w:id="40" w:name="_Toc193352823"/>
      <w:bookmarkStart w:id="41" w:name="_Toc193346648"/>
      <w:bookmarkStart w:id="42" w:name="_Toc193346288"/>
    </w:p>
    <w:p w:rsidR="001F5FA8" w:rsidRPr="00D6441B" w:rsidRDefault="001F5FA8" w:rsidP="001F5FA8">
      <w:pPr>
        <w:pStyle w:val="BodyText"/>
        <w:spacing w:before="120" w:line="240" w:lineRule="auto"/>
        <w:jc w:val="center"/>
        <w:rPr>
          <w:rFonts w:ascii="Times New Roman" w:hAnsi="Times New Roman"/>
          <w:sz w:val="24"/>
          <w:szCs w:val="24"/>
        </w:rPr>
      </w:pPr>
      <w:r w:rsidRPr="00D6441B">
        <w:rPr>
          <w:rFonts w:ascii="Times New Roman" w:hAnsi="Times New Roman"/>
          <w:b/>
          <w:sz w:val="24"/>
          <w:szCs w:val="24"/>
        </w:rPr>
        <w:t>Şekil 3</w:t>
      </w:r>
      <w:r w:rsidRPr="00D6441B">
        <w:rPr>
          <w:rFonts w:ascii="Times New Roman" w:hAnsi="Times New Roman"/>
          <w:sz w:val="24"/>
          <w:szCs w:val="24"/>
        </w:rPr>
        <w:t>. Kurulan tıbbî atık yönetim sisteminin iş akış şeması (ERA, 2011)</w:t>
      </w:r>
    </w:p>
    <w:bookmarkEnd w:id="39"/>
    <w:bookmarkEnd w:id="40"/>
    <w:bookmarkEnd w:id="41"/>
    <w:bookmarkEnd w:id="42"/>
    <w:p w:rsidR="00FB192F" w:rsidRDefault="00FB192F" w:rsidP="008D1314">
      <w:pPr>
        <w:pStyle w:val="BodyText"/>
        <w:spacing w:before="120" w:line="240" w:lineRule="auto"/>
        <w:jc w:val="both"/>
        <w:rPr>
          <w:rFonts w:ascii="Times New Roman" w:hAnsi="Times New Roman"/>
          <w:sz w:val="24"/>
          <w:szCs w:val="24"/>
        </w:rPr>
        <w:sectPr w:rsidR="00FB192F" w:rsidSect="00FB192F">
          <w:type w:val="continuous"/>
          <w:pgSz w:w="11906" w:h="16838"/>
          <w:pgMar w:top="1417" w:right="849" w:bottom="1417" w:left="1134" w:header="708" w:footer="708" w:gutter="0"/>
          <w:cols w:space="708"/>
          <w:docGrid w:linePitch="360"/>
        </w:sectPr>
      </w:pPr>
    </w:p>
    <w:tbl>
      <w:tblPr>
        <w:tblW w:w="4318" w:type="pct"/>
        <w:tblLook w:val="04A0" w:firstRow="1" w:lastRow="0" w:firstColumn="1" w:lastColumn="0" w:noHBand="0" w:noVBand="1"/>
      </w:tblPr>
      <w:tblGrid>
        <w:gridCol w:w="3051"/>
        <w:gridCol w:w="2976"/>
        <w:gridCol w:w="2729"/>
      </w:tblGrid>
      <w:tr w:rsidR="001F5FA8" w:rsidRPr="00D6441B" w:rsidTr="008D1314">
        <w:trPr>
          <w:trHeight w:val="2552"/>
        </w:trPr>
        <w:tc>
          <w:tcPr>
            <w:tcW w:w="1475" w:type="pct"/>
            <w:shd w:val="clear" w:color="auto" w:fill="auto"/>
          </w:tcPr>
          <w:p w:rsidR="001F5FA8" w:rsidRPr="00D6441B" w:rsidRDefault="001F5FA8" w:rsidP="00FB192F">
            <w:pPr>
              <w:pStyle w:val="BodyText"/>
              <w:spacing w:before="120" w:line="240" w:lineRule="auto"/>
              <w:jc w:val="center"/>
              <w:rPr>
                <w:rFonts w:ascii="Times New Roman" w:hAnsi="Times New Roman"/>
                <w:sz w:val="24"/>
                <w:szCs w:val="24"/>
              </w:rPr>
            </w:pPr>
            <w:r>
              <w:rPr>
                <w:rFonts w:ascii="Times New Roman" w:hAnsi="Times New Roman"/>
                <w:noProof/>
                <w:sz w:val="24"/>
                <w:szCs w:val="24"/>
                <w:lang w:val="en-AU" w:eastAsia="en-AU"/>
              </w:rPr>
              <w:lastRenderedPageBreak/>
              <w:drawing>
                <wp:inline distT="0" distB="0" distL="0" distR="0">
                  <wp:extent cx="1800225" cy="1504950"/>
                  <wp:effectExtent l="0" t="152400" r="0" b="133350"/>
                  <wp:docPr id="1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9" cstate="print"/>
                          <a:srcRect/>
                          <a:stretch>
                            <a:fillRect/>
                          </a:stretch>
                        </pic:blipFill>
                        <pic:spPr bwMode="auto">
                          <a:xfrm rot="16200000">
                            <a:off x="0" y="0"/>
                            <a:ext cx="1800225" cy="1504950"/>
                          </a:xfrm>
                          <a:prstGeom prst="rect">
                            <a:avLst/>
                          </a:prstGeom>
                          <a:noFill/>
                          <a:ln w="9525">
                            <a:noFill/>
                            <a:miter lim="800000"/>
                            <a:headEnd/>
                            <a:tailEnd/>
                          </a:ln>
                        </pic:spPr>
                      </pic:pic>
                    </a:graphicData>
                  </a:graphic>
                </wp:inline>
              </w:drawing>
            </w:r>
          </w:p>
        </w:tc>
        <w:tc>
          <w:tcPr>
            <w:tcW w:w="1744" w:type="pct"/>
            <w:shd w:val="clear" w:color="auto" w:fill="auto"/>
          </w:tcPr>
          <w:p w:rsidR="001F5FA8" w:rsidRPr="00D6441B" w:rsidRDefault="001F5FA8" w:rsidP="00FB192F">
            <w:pPr>
              <w:pStyle w:val="BodyText"/>
              <w:spacing w:before="120" w:line="240" w:lineRule="auto"/>
              <w:jc w:val="center"/>
              <w:rPr>
                <w:rFonts w:ascii="Times New Roman" w:hAnsi="Times New Roman"/>
                <w:sz w:val="24"/>
                <w:szCs w:val="24"/>
              </w:rPr>
            </w:pPr>
            <w:r>
              <w:rPr>
                <w:rFonts w:ascii="Times New Roman" w:hAnsi="Times New Roman"/>
                <w:noProof/>
                <w:sz w:val="24"/>
                <w:szCs w:val="24"/>
                <w:lang w:val="en-AU" w:eastAsia="en-AU"/>
              </w:rPr>
              <w:drawing>
                <wp:inline distT="0" distB="0" distL="0" distR="0">
                  <wp:extent cx="1733550" cy="1800225"/>
                  <wp:effectExtent l="19050" t="0" r="0" b="0"/>
                  <wp:docPr id="138" name="9 Resim" descr="Açıklama: C:\Users\Cengiz\Documents\Documents\ERA MEDIKAL TUM DOSYALAR\ERA web\Mete için Dosyalar\Bursa İçin Resimler\Yeni Resimler\Yeni WinRAR ZIP archive (2)\DSC0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Açıklama: C:\Users\Cengiz\Documents\Documents\ERA MEDIKAL TUM DOSYALAR\ERA web\Mete için Dosyalar\Bursa İçin Resimler\Yeni Resimler\Yeni WinRAR ZIP archive (2)\DSC02489.JPG"/>
                          <pic:cNvPicPr>
                            <a:picLocks noChangeAspect="1" noChangeArrowheads="1"/>
                          </pic:cNvPicPr>
                        </pic:nvPicPr>
                        <pic:blipFill>
                          <a:blip r:embed="rId60" cstate="print"/>
                          <a:srcRect/>
                          <a:stretch>
                            <a:fillRect/>
                          </a:stretch>
                        </pic:blipFill>
                        <pic:spPr bwMode="auto">
                          <a:xfrm>
                            <a:off x="0" y="0"/>
                            <a:ext cx="1733550" cy="1800225"/>
                          </a:xfrm>
                          <a:prstGeom prst="rect">
                            <a:avLst/>
                          </a:prstGeom>
                          <a:noFill/>
                          <a:ln w="9525">
                            <a:noFill/>
                            <a:miter lim="800000"/>
                            <a:headEnd/>
                            <a:tailEnd/>
                          </a:ln>
                        </pic:spPr>
                      </pic:pic>
                    </a:graphicData>
                  </a:graphic>
                </wp:inline>
              </w:drawing>
            </w:r>
          </w:p>
        </w:tc>
        <w:tc>
          <w:tcPr>
            <w:tcW w:w="1781" w:type="pct"/>
            <w:shd w:val="clear" w:color="auto" w:fill="auto"/>
          </w:tcPr>
          <w:p w:rsidR="001F5FA8" w:rsidRPr="00D6441B" w:rsidRDefault="001F5FA8" w:rsidP="00FB192F">
            <w:pPr>
              <w:pStyle w:val="BodyText"/>
              <w:spacing w:before="120" w:line="240" w:lineRule="auto"/>
              <w:jc w:val="center"/>
              <w:rPr>
                <w:rFonts w:ascii="Times New Roman" w:hAnsi="Times New Roman"/>
                <w:sz w:val="24"/>
                <w:szCs w:val="24"/>
              </w:rPr>
            </w:pPr>
            <w:r>
              <w:rPr>
                <w:rFonts w:ascii="Times New Roman" w:hAnsi="Times New Roman"/>
                <w:noProof/>
                <w:sz w:val="24"/>
                <w:szCs w:val="24"/>
                <w:lang w:val="en-AU" w:eastAsia="en-AU"/>
              </w:rPr>
              <w:drawing>
                <wp:inline distT="0" distB="0" distL="0" distR="0">
                  <wp:extent cx="1352550" cy="1800225"/>
                  <wp:effectExtent l="19050" t="0" r="0" b="0"/>
                  <wp:docPr id="139" name="Picture 4" descr="Açıklama: C:\Users\Cengiz\Desktop\104MSDCF\DSC0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çıklama: C:\Users\Cengiz\Desktop\104MSDCF\DSC03354.JPG"/>
                          <pic:cNvPicPr>
                            <a:picLocks noChangeAspect="1" noChangeArrowheads="1"/>
                          </pic:cNvPicPr>
                        </pic:nvPicPr>
                        <pic:blipFill>
                          <a:blip r:embed="rId61"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tc>
      </w:tr>
      <w:tr w:rsidR="001F5FA8" w:rsidRPr="00D6441B" w:rsidTr="008D1314">
        <w:tc>
          <w:tcPr>
            <w:tcW w:w="1475" w:type="pct"/>
            <w:shd w:val="clear" w:color="auto" w:fill="auto"/>
          </w:tcPr>
          <w:p w:rsidR="001F5FA8" w:rsidRPr="00D6441B" w:rsidRDefault="001F5FA8" w:rsidP="00FB192F">
            <w:pPr>
              <w:pStyle w:val="BodyText"/>
              <w:spacing w:before="120" w:line="240" w:lineRule="auto"/>
              <w:jc w:val="center"/>
              <w:rPr>
                <w:rFonts w:ascii="Times New Roman" w:hAnsi="Times New Roman"/>
                <w:sz w:val="24"/>
                <w:szCs w:val="24"/>
              </w:rPr>
            </w:pPr>
            <w:r w:rsidRPr="00D6441B">
              <w:rPr>
                <w:rFonts w:ascii="Times New Roman" w:hAnsi="Times New Roman"/>
                <w:b/>
                <w:sz w:val="24"/>
                <w:szCs w:val="24"/>
              </w:rPr>
              <w:t>Şekil 4</w:t>
            </w:r>
            <w:r w:rsidRPr="00D6441B">
              <w:rPr>
                <w:rFonts w:ascii="Times New Roman" w:hAnsi="Times New Roman"/>
                <w:sz w:val="24"/>
                <w:szCs w:val="24"/>
              </w:rPr>
              <w:t>. Tıbbî atık kovaları</w:t>
            </w:r>
          </w:p>
        </w:tc>
        <w:tc>
          <w:tcPr>
            <w:tcW w:w="1744" w:type="pct"/>
            <w:shd w:val="clear" w:color="auto" w:fill="auto"/>
          </w:tcPr>
          <w:p w:rsidR="001F5FA8" w:rsidRPr="00D6441B" w:rsidRDefault="001F5FA8" w:rsidP="00FB192F">
            <w:pPr>
              <w:pStyle w:val="BodyText"/>
              <w:spacing w:before="120" w:line="240" w:lineRule="auto"/>
              <w:jc w:val="center"/>
              <w:rPr>
                <w:rFonts w:ascii="Times New Roman" w:hAnsi="Times New Roman"/>
                <w:sz w:val="24"/>
                <w:szCs w:val="24"/>
              </w:rPr>
            </w:pPr>
            <w:r w:rsidRPr="00D6441B">
              <w:rPr>
                <w:rFonts w:ascii="Times New Roman" w:hAnsi="Times New Roman"/>
                <w:b/>
                <w:sz w:val="24"/>
                <w:szCs w:val="24"/>
              </w:rPr>
              <w:t>Şekil 5.</w:t>
            </w:r>
            <w:r w:rsidRPr="00D6441B">
              <w:rPr>
                <w:rFonts w:ascii="Times New Roman" w:hAnsi="Times New Roman"/>
                <w:sz w:val="24"/>
                <w:szCs w:val="24"/>
              </w:rPr>
              <w:t xml:space="preserve"> Tıbbî atık kovalarının tıbbî atık taşıma aracına yerleştirilmesi</w:t>
            </w:r>
          </w:p>
        </w:tc>
        <w:tc>
          <w:tcPr>
            <w:tcW w:w="1781" w:type="pct"/>
            <w:shd w:val="clear" w:color="auto" w:fill="auto"/>
          </w:tcPr>
          <w:p w:rsidR="001F5FA8" w:rsidRPr="00D6441B" w:rsidRDefault="001F5FA8" w:rsidP="00FB192F">
            <w:pPr>
              <w:pStyle w:val="BodyText"/>
              <w:spacing w:before="120" w:line="240" w:lineRule="auto"/>
              <w:jc w:val="center"/>
              <w:rPr>
                <w:rFonts w:ascii="Times New Roman" w:hAnsi="Times New Roman"/>
                <w:sz w:val="24"/>
                <w:szCs w:val="24"/>
              </w:rPr>
            </w:pPr>
            <w:r w:rsidRPr="00D6441B">
              <w:rPr>
                <w:rFonts w:ascii="Times New Roman" w:hAnsi="Times New Roman"/>
                <w:b/>
                <w:sz w:val="24"/>
                <w:szCs w:val="24"/>
              </w:rPr>
              <w:t>Şekil 6</w:t>
            </w:r>
            <w:r w:rsidRPr="00D6441B">
              <w:rPr>
                <w:rFonts w:ascii="Times New Roman" w:hAnsi="Times New Roman"/>
                <w:sz w:val="24"/>
                <w:szCs w:val="24"/>
              </w:rPr>
              <w:t>. Tıbbî atık kovalarının barkot okutma işlemi</w:t>
            </w:r>
          </w:p>
        </w:tc>
      </w:tr>
    </w:tbl>
    <w:p w:rsidR="00FB192F" w:rsidRDefault="00FB192F" w:rsidP="001F5FA8">
      <w:pPr>
        <w:pStyle w:val="BodyText"/>
        <w:spacing w:before="120" w:line="240" w:lineRule="auto"/>
        <w:jc w:val="both"/>
        <w:rPr>
          <w:rFonts w:ascii="Times New Roman" w:hAnsi="Times New Roman"/>
          <w:sz w:val="24"/>
          <w:szCs w:val="24"/>
        </w:rPr>
        <w:sectPr w:rsidR="00FB192F" w:rsidSect="00E230BE">
          <w:type w:val="continuous"/>
          <w:pgSz w:w="11906" w:h="16838"/>
          <w:pgMar w:top="1417" w:right="849" w:bottom="1417" w:left="1134" w:header="708" w:footer="340" w:gutter="0"/>
          <w:cols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p>
    <w:p w:rsidR="00FB192F"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Bolu, Düzce ve Sakarya illerinden toplanan tıbbî atıklar Sakarya ili Kaynarca yolu üzerinde bulunan Sakarya Büyükşehir Belediyesi Katı Atık Düzenli Depo Sahası içinde inşa edilen Tıbbî Atık Sterilizasyon Tesisinde Ocak 2010 tarihinden itibaren sterilize edilmektedir. Tesiste buharlı sterilizasyon teknolojisi (otoklav) kullanılmaktadır. Atık yoğunluğu 120 kg/m</w:t>
      </w:r>
      <w:r w:rsidRPr="00D6441B">
        <w:rPr>
          <w:rFonts w:ascii="Times New Roman" w:hAnsi="Times New Roman"/>
          <w:sz w:val="24"/>
          <w:szCs w:val="24"/>
          <w:vertAlign w:val="superscript"/>
        </w:rPr>
        <w:t>3</w:t>
      </w:r>
      <w:r w:rsidRPr="00D6441B">
        <w:rPr>
          <w:rFonts w:ascii="Times New Roman" w:hAnsi="Times New Roman"/>
          <w:sz w:val="24"/>
          <w:szCs w:val="24"/>
        </w:rPr>
        <w:t xml:space="preserve"> olarak kabul edildiğinde tesisin işlem kapasitesi 777 kg/işlem(45 dk), günlük </w:t>
      </w:r>
    </w:p>
    <w:p w:rsidR="00FB192F" w:rsidRDefault="00FB192F" w:rsidP="001F5FA8">
      <w:pPr>
        <w:pStyle w:val="BodyText"/>
        <w:spacing w:before="120" w:line="240" w:lineRule="auto"/>
        <w:jc w:val="both"/>
        <w:rPr>
          <w:rFonts w:ascii="Times New Roman" w:hAnsi="Times New Roman"/>
          <w:sz w:val="24"/>
          <w:szCs w:val="24"/>
        </w:rPr>
      </w:pPr>
    </w:p>
    <w:p w:rsidR="00FB192F" w:rsidRDefault="00FB192F"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kapasitesi ise 24,88 ton/gün olup tesis Bolu, Düzce, Sakarya ve yakın çevre illerini de kapsayacak şekilde tasarlandığından talep olması halinde diğer illerin tıbbî atıkları da rahatlıkla sisteme dâhil edilebilecek durumdadır. Sterilize edilen tıbbî atıklar parçalama ünitesinde parçalanmakta, ardından depo sahasında nihai depolanmaktadırlar. Sterilizasyon tesisinin dıştan ve içten görünümleri Şekil 7’de gösterilmektedir.</w:t>
      </w:r>
    </w:p>
    <w:p w:rsidR="001F5FA8" w:rsidRPr="00D6441B" w:rsidRDefault="001F5FA8" w:rsidP="001F5FA8">
      <w:pPr>
        <w:pStyle w:val="BodyText"/>
        <w:spacing w:before="120" w:line="240" w:lineRule="auto"/>
        <w:jc w:val="both"/>
        <w:rPr>
          <w:rFonts w:ascii="Times New Roman" w:hAnsi="Times New Roman"/>
          <w:sz w:val="24"/>
          <w:szCs w:val="24"/>
        </w:rPr>
      </w:pPr>
    </w:p>
    <w:p w:rsidR="00FB192F" w:rsidRDefault="00FB192F" w:rsidP="008D1314">
      <w:pPr>
        <w:pStyle w:val="BodyText"/>
        <w:spacing w:before="120" w:line="240" w:lineRule="auto"/>
        <w:jc w:val="both"/>
        <w:rPr>
          <w:rFonts w:ascii="Times New Roman" w:hAnsi="Times New Roman"/>
          <w:sz w:val="24"/>
          <w:szCs w:val="24"/>
        </w:rPr>
        <w:sectPr w:rsidR="00FB192F" w:rsidSect="00FB192F">
          <w:type w:val="continuous"/>
          <w:pgSz w:w="11906" w:h="16838"/>
          <w:pgMar w:top="1417" w:right="849" w:bottom="1417" w:left="1134" w:header="708" w:footer="708" w:gutter="0"/>
          <w:cols w:num="2" w:space="708"/>
          <w:docGrid w:linePitch="360"/>
        </w:sectPr>
      </w:pPr>
    </w:p>
    <w:tbl>
      <w:tblPr>
        <w:tblW w:w="0" w:type="auto"/>
        <w:tblCellMar>
          <w:left w:w="0" w:type="dxa"/>
          <w:right w:w="0" w:type="dxa"/>
        </w:tblCellMar>
        <w:tblLook w:val="04A0" w:firstRow="1" w:lastRow="0" w:firstColumn="1" w:lastColumn="0" w:noHBand="0" w:noVBand="1"/>
      </w:tblPr>
      <w:tblGrid>
        <w:gridCol w:w="5610"/>
        <w:gridCol w:w="3900"/>
      </w:tblGrid>
      <w:tr w:rsidR="001F5FA8" w:rsidRPr="00D6441B" w:rsidTr="008D1314">
        <w:tc>
          <w:tcPr>
            <w:tcW w:w="0" w:type="auto"/>
            <w:shd w:val="clear" w:color="auto" w:fill="auto"/>
            <w:vAlign w:val="center"/>
          </w:tcPr>
          <w:p w:rsidR="001F5FA8" w:rsidRPr="00D6441B" w:rsidRDefault="001F5FA8" w:rsidP="008D1314">
            <w:pPr>
              <w:pStyle w:val="BodyText"/>
              <w:spacing w:before="120" w:line="240" w:lineRule="auto"/>
              <w:jc w:val="both"/>
              <w:rPr>
                <w:rFonts w:ascii="Times New Roman" w:hAnsi="Times New Roman"/>
                <w:sz w:val="24"/>
                <w:szCs w:val="24"/>
              </w:rPr>
            </w:pPr>
            <w:r>
              <w:rPr>
                <w:rFonts w:ascii="Times New Roman" w:hAnsi="Times New Roman"/>
                <w:noProof/>
                <w:sz w:val="24"/>
                <w:szCs w:val="24"/>
                <w:lang w:val="en-AU" w:eastAsia="en-AU"/>
              </w:rPr>
              <w:lastRenderedPageBreak/>
              <w:drawing>
                <wp:inline distT="0" distB="0" distL="0" distR="0">
                  <wp:extent cx="3543300" cy="1838325"/>
                  <wp:effectExtent l="19050" t="0" r="0" b="0"/>
                  <wp:docPr id="1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2" cstate="print"/>
                          <a:srcRect/>
                          <a:stretch>
                            <a:fillRect/>
                          </a:stretch>
                        </pic:blipFill>
                        <pic:spPr bwMode="auto">
                          <a:xfrm>
                            <a:off x="0" y="0"/>
                            <a:ext cx="3543300" cy="1838325"/>
                          </a:xfrm>
                          <a:prstGeom prst="rect">
                            <a:avLst/>
                          </a:prstGeom>
                          <a:noFill/>
                          <a:ln w="9525">
                            <a:noFill/>
                            <a:miter lim="800000"/>
                            <a:headEnd/>
                            <a:tailEnd/>
                          </a:ln>
                        </pic:spPr>
                      </pic:pic>
                    </a:graphicData>
                  </a:graphic>
                </wp:inline>
              </w:drawing>
            </w:r>
          </w:p>
        </w:tc>
        <w:tc>
          <w:tcPr>
            <w:tcW w:w="0" w:type="auto"/>
            <w:shd w:val="clear" w:color="auto" w:fill="auto"/>
          </w:tcPr>
          <w:p w:rsidR="001F5FA8" w:rsidRPr="00D6441B" w:rsidRDefault="001F5FA8" w:rsidP="008D1314">
            <w:pPr>
              <w:pStyle w:val="BodyText"/>
              <w:spacing w:before="120" w:line="240" w:lineRule="auto"/>
              <w:jc w:val="both"/>
              <w:rPr>
                <w:rFonts w:ascii="Times New Roman" w:hAnsi="Times New Roman"/>
                <w:sz w:val="24"/>
                <w:szCs w:val="24"/>
              </w:rPr>
            </w:pPr>
            <w:r>
              <w:rPr>
                <w:rFonts w:ascii="Times New Roman" w:hAnsi="Times New Roman"/>
                <w:noProof/>
                <w:sz w:val="24"/>
                <w:szCs w:val="24"/>
                <w:lang w:val="en-AU" w:eastAsia="en-AU"/>
              </w:rPr>
              <w:drawing>
                <wp:inline distT="0" distB="0" distL="0" distR="0">
                  <wp:extent cx="2447925" cy="1905000"/>
                  <wp:effectExtent l="19050" t="0" r="9525" b="0"/>
                  <wp:docPr id="1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3" cstate="print"/>
                          <a:srcRect/>
                          <a:stretch>
                            <a:fillRect/>
                          </a:stretch>
                        </pic:blipFill>
                        <pic:spPr bwMode="auto">
                          <a:xfrm>
                            <a:off x="0" y="0"/>
                            <a:ext cx="2447925" cy="1905000"/>
                          </a:xfrm>
                          <a:prstGeom prst="rect">
                            <a:avLst/>
                          </a:prstGeom>
                          <a:noFill/>
                          <a:ln w="9525">
                            <a:noFill/>
                            <a:miter lim="800000"/>
                            <a:headEnd/>
                            <a:tailEnd/>
                          </a:ln>
                        </pic:spPr>
                      </pic:pic>
                    </a:graphicData>
                  </a:graphic>
                </wp:inline>
              </w:drawing>
            </w:r>
          </w:p>
        </w:tc>
      </w:tr>
    </w:tbl>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b/>
          <w:sz w:val="24"/>
          <w:szCs w:val="24"/>
        </w:rPr>
        <w:t>Şekil 7</w:t>
      </w:r>
      <w:r w:rsidRPr="00D6441B">
        <w:rPr>
          <w:rFonts w:ascii="Times New Roman" w:hAnsi="Times New Roman"/>
          <w:sz w:val="24"/>
          <w:szCs w:val="24"/>
        </w:rPr>
        <w:t>. Sakarya Tıbbî Atık Sterilizasyon Tesisinin dıştan ve içten görünümleri</w:t>
      </w:r>
    </w:p>
    <w:p w:rsidR="00FB192F" w:rsidRDefault="00FB192F" w:rsidP="001F5FA8">
      <w:pPr>
        <w:pStyle w:val="BodyText"/>
        <w:spacing w:before="120" w:line="240" w:lineRule="auto"/>
        <w:jc w:val="both"/>
        <w:rPr>
          <w:rFonts w:ascii="Times New Roman" w:hAnsi="Times New Roman"/>
          <w:sz w:val="24"/>
          <w:szCs w:val="24"/>
        </w:rPr>
        <w:sectPr w:rsidR="00FB192F" w:rsidSect="00FB192F">
          <w:type w:val="continuous"/>
          <w:pgSz w:w="11906" w:h="16838"/>
          <w:pgMar w:top="1417" w:right="849" w:bottom="1417" w:left="1134" w:header="708" w:footer="708" w:gutter="0"/>
          <w:cols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p>
    <w:p w:rsidR="00FB192F"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Tıbbî atık kovaları sterilizasyon tesisinde klor dioksit (ClO</w:t>
      </w:r>
      <w:r w:rsidRPr="00D6441B">
        <w:rPr>
          <w:rFonts w:ascii="Times New Roman" w:hAnsi="Times New Roman"/>
          <w:sz w:val="24"/>
          <w:szCs w:val="24"/>
          <w:vertAlign w:val="subscript"/>
        </w:rPr>
        <w:t>2</w:t>
      </w:r>
      <w:r w:rsidRPr="00D6441B">
        <w:rPr>
          <w:rFonts w:ascii="Times New Roman" w:hAnsi="Times New Roman"/>
          <w:sz w:val="24"/>
          <w:szCs w:val="24"/>
        </w:rPr>
        <w:t xml:space="preserve">) ile dezenfekte edilmekte ve böylece tekrar kullanılmaları sayesinde fazladan bir ambalaj maliyeti oluşmamaktadır. Atıkların sterilizasyonunda parçalama sisteminin de olması sayesinde de atık </w:t>
      </w:r>
    </w:p>
    <w:p w:rsidR="00FB192F" w:rsidRDefault="00FB192F"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hacminde %70’e varan bir azalma sağlanmaktadır.</w:t>
      </w:r>
    </w:p>
    <w:p w:rsidR="001F5FA8" w:rsidRPr="00D6441B" w:rsidRDefault="001F5FA8"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p>
    <w:p w:rsidR="00FB192F" w:rsidRDefault="00FB192F" w:rsidP="001F5FA8">
      <w:pPr>
        <w:pStyle w:val="Heading1"/>
        <w:keepNext w:val="0"/>
        <w:spacing w:before="120" w:after="120" w:line="240" w:lineRule="auto"/>
        <w:jc w:val="both"/>
        <w:rPr>
          <w:rFonts w:ascii="Times New Roman" w:hAnsi="Times New Roman"/>
          <w:sz w:val="24"/>
          <w:szCs w:val="24"/>
        </w:rPr>
      </w:pPr>
    </w:p>
    <w:p w:rsidR="001F5FA8" w:rsidRPr="00D6441B" w:rsidRDefault="001F5FA8" w:rsidP="001F5FA8">
      <w:pPr>
        <w:pStyle w:val="Heading1"/>
        <w:keepNext w:val="0"/>
        <w:spacing w:before="120" w:after="120" w:line="240" w:lineRule="auto"/>
        <w:jc w:val="both"/>
        <w:rPr>
          <w:rFonts w:ascii="Times New Roman" w:hAnsi="Times New Roman"/>
          <w:sz w:val="24"/>
          <w:szCs w:val="24"/>
        </w:rPr>
      </w:pPr>
      <w:r w:rsidRPr="00D6441B">
        <w:rPr>
          <w:rFonts w:ascii="Times New Roman" w:hAnsi="Times New Roman"/>
          <w:sz w:val="24"/>
          <w:szCs w:val="24"/>
        </w:rPr>
        <w:lastRenderedPageBreak/>
        <w:t>TIBBÎ ATIK MİKTARLARI</w:t>
      </w:r>
    </w:p>
    <w:p w:rsidR="001F5FA8" w:rsidRPr="00D6441B" w:rsidRDefault="001F5FA8"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Oluşacak atık miktarları tam ve kesin olarak bilinemez olsa da yapılmış olan çalışmalar sonucunda elde edilmiş atık oluşum miktarları üzerinden hesaplamalar yapılarak gerçeğe yakın tahminlerde bulunulabilir. Literatürde kg/kişi-gün, kg/hasta-gün, kg/yatak-gün ve kg/ünite-gün gibi çeşitli birimlerde verilmiş atık oluşum miktarları mevcuttur. Dünya Sağlık Teşkilatı (WHO); tıbbî atık oluşum birim miktarını kg/kişi-yıl birimi ile milli gelirin orta seviyede olduğu ülkeler için 0,8-6,0; kg/yatak-gün birimi ile de Doğu Akdeniz ülkeleri için 1,3-3,0 olarak vermektedir (WHO, 1999).</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Tıbbî atık miktarları hizmet verilen nüfus ve tıbbî atık kaynaklarının sayısına göre değişmektedir. Dolayısıyla oluşması beklenen (tahmin edilen) ile toplanmış olan (gerçekleşen) tıbbî atık miktarları arasında farklılık oluşmaktadır. Bolu, Düzce ve Sakarya illerinin nüfuslarının Adrese Dayalı Nüfus Kayıt Sistemine (ADNKS) göre zamansal değişimi Şekil 8’de; bu alandaki tıbbî atık kaynaklarının sayısı, sahip oldukları yatak sayıları ve ürettikleri tıbbî atık miktarları Tablo 1’de; bu alanda toplanan toplam tıbbî atık miktarlarının zamansal değişimi Şekil 9’da; oluşması beklenen (tahmin edilen) ile toplanmış olan (gerçekleşen) tıbbî atık miktarlarının kıyaslaması ise Tablo 2’de verilmiştir.</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Tablo 2’den görüldüğü üzere Bolu-Düzce-Sakarya bölgesinde tıbbî atık birim oluşum miktarı 2010 yılı için ortalama olarak 0,61 kg/kişi-yıl ve 0,63 kg/yatak-gün olmuştur.</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lastRenderedPageBreak/>
        <w:t>Toplanan tıbbî atıklar yeni inşa edilen sterilizasyon tesisinde sterilize edildikten sonra düzenli depo sahasında nihai depolanmaktadırlar. Sterilizasyon işleminin gerçekleşip gerçekleşmediği biyolojik indikatörler ile haftada bir, kimyasal indikatörler ile her işlemde test edilmektedir. Tesiste sterilize edilmiş atık miktarı, sistem bilgilerini zamansal olarak kayıt eden otoklav kayıt kağıdı, biyolojik ve kimyasal indikatör test sonuçları aylık raporlar halinde Sakarya İl Çevre ve Orman Müdürlüğüne teslim edilmekte, 6 aylık periyotlarla da İl Çevre ve Orman Müdürlüğü tarafından sistemin çalışması yerinde kontrol ve test edilmektedir. Sterilize edilen tıbbî atıkların zamansal değişimi ve özellikleri Tablo 3’de verilmiştir.</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Tablo 3’e göre Ocak 2010’dan Haziran 2011’a kadar olan 18 aylık dönemde 1.366 ton tıbbî atık sterilize edilmiştir. Bu atığın ortalama yoğunluğu 151 kg/m</w:t>
      </w:r>
      <w:r w:rsidRPr="00D6441B">
        <w:rPr>
          <w:rFonts w:ascii="Times New Roman" w:hAnsi="Times New Roman"/>
          <w:sz w:val="24"/>
          <w:szCs w:val="24"/>
          <w:vertAlign w:val="superscript"/>
        </w:rPr>
        <w:t>3</w:t>
      </w:r>
      <w:r w:rsidRPr="00D6441B">
        <w:rPr>
          <w:rFonts w:ascii="Times New Roman" w:hAnsi="Times New Roman"/>
          <w:sz w:val="24"/>
          <w:szCs w:val="24"/>
        </w:rPr>
        <w:t xml:space="preserve"> olarak belirlenmiştir. Kurulan otoklav sisteminin ortalama kapasitesi 983 kg/işlem(45 dk), saatlik kapasitesi ise 1.311 kg/sa olarak hesaplanmıştır. Toplam 9.046 m</w:t>
      </w:r>
      <w:r w:rsidRPr="00D6441B">
        <w:rPr>
          <w:rFonts w:ascii="Times New Roman" w:hAnsi="Times New Roman"/>
          <w:sz w:val="24"/>
          <w:szCs w:val="24"/>
          <w:vertAlign w:val="superscript"/>
        </w:rPr>
        <w:t>3</w:t>
      </w:r>
      <w:r w:rsidRPr="00D6441B">
        <w:rPr>
          <w:rFonts w:ascii="Times New Roman" w:hAnsi="Times New Roman"/>
          <w:sz w:val="24"/>
          <w:szCs w:val="24"/>
        </w:rPr>
        <w:t xml:space="preserve"> hacmindeki bu atık, sterilizasyon ve parçalama işleminden sonra 6.332 m</w:t>
      </w:r>
      <w:r w:rsidRPr="00D6441B">
        <w:rPr>
          <w:rFonts w:ascii="Times New Roman" w:hAnsi="Times New Roman"/>
          <w:sz w:val="24"/>
          <w:szCs w:val="24"/>
          <w:vertAlign w:val="superscript"/>
        </w:rPr>
        <w:t>3</w:t>
      </w:r>
      <w:r w:rsidRPr="00D6441B">
        <w:rPr>
          <w:rFonts w:ascii="Times New Roman" w:hAnsi="Times New Roman"/>
          <w:sz w:val="24"/>
          <w:szCs w:val="24"/>
        </w:rPr>
        <w:t>’lük (yani %70’lik) bir hacim azalması ile 2.714 m</w:t>
      </w:r>
      <w:r w:rsidRPr="00D6441B">
        <w:rPr>
          <w:rFonts w:ascii="Times New Roman" w:hAnsi="Times New Roman"/>
          <w:sz w:val="24"/>
          <w:szCs w:val="24"/>
          <w:vertAlign w:val="superscript"/>
        </w:rPr>
        <w:t>3</w:t>
      </w:r>
      <w:r w:rsidRPr="00D6441B">
        <w:rPr>
          <w:rFonts w:ascii="Times New Roman" w:hAnsi="Times New Roman"/>
          <w:sz w:val="24"/>
          <w:szCs w:val="24"/>
        </w:rPr>
        <w:t xml:space="preserve"> hacme inmiştir. Böylece atığın son yoğunluğu da 503 kg/m</w:t>
      </w:r>
      <w:r w:rsidRPr="00D6441B">
        <w:rPr>
          <w:rFonts w:ascii="Times New Roman" w:hAnsi="Times New Roman"/>
          <w:sz w:val="24"/>
          <w:szCs w:val="24"/>
          <w:vertAlign w:val="superscript"/>
        </w:rPr>
        <w:t>3</w:t>
      </w:r>
      <w:r w:rsidRPr="00D6441B">
        <w:rPr>
          <w:rFonts w:ascii="Times New Roman" w:hAnsi="Times New Roman"/>
          <w:sz w:val="24"/>
          <w:szCs w:val="24"/>
        </w:rPr>
        <w:t xml:space="preserve"> olmuştur. Sterilizasyon ve parçalama işlemi sayesinde ayda ortalama 352 m</w:t>
      </w:r>
      <w:r w:rsidRPr="00D6441B">
        <w:rPr>
          <w:rFonts w:ascii="Times New Roman" w:hAnsi="Times New Roman"/>
          <w:sz w:val="24"/>
          <w:szCs w:val="24"/>
          <w:vertAlign w:val="superscript"/>
        </w:rPr>
        <w:t>3</w:t>
      </w:r>
      <w:r w:rsidRPr="00D6441B">
        <w:rPr>
          <w:rFonts w:ascii="Times New Roman" w:hAnsi="Times New Roman"/>
          <w:sz w:val="24"/>
          <w:szCs w:val="24"/>
        </w:rPr>
        <w:t>, yılda ise 4.222 m</w:t>
      </w:r>
      <w:r w:rsidRPr="00D6441B">
        <w:rPr>
          <w:rFonts w:ascii="Times New Roman" w:hAnsi="Times New Roman"/>
          <w:sz w:val="24"/>
          <w:szCs w:val="24"/>
          <w:vertAlign w:val="superscript"/>
        </w:rPr>
        <w:t>3</w:t>
      </w:r>
      <w:r w:rsidRPr="00D6441B">
        <w:rPr>
          <w:rFonts w:ascii="Times New Roman" w:hAnsi="Times New Roman"/>
          <w:sz w:val="24"/>
          <w:szCs w:val="24"/>
        </w:rPr>
        <w:t xml:space="preserve">’lük bir hacim azalması sağlanmaktadır. Bu ise, düzenli depo sahasında ortalama atık depo yüksekliği </w:t>
      </w:r>
      <w:smartTag w:uri="urn:schemas-microsoft-com:office:smarttags" w:element="metricconverter">
        <w:smartTagPr>
          <w:attr w:name="ProductID" w:val="20 m"/>
        </w:smartTagPr>
        <w:r w:rsidRPr="00D6441B">
          <w:rPr>
            <w:rFonts w:ascii="Times New Roman" w:hAnsi="Times New Roman"/>
            <w:sz w:val="24"/>
            <w:szCs w:val="24"/>
          </w:rPr>
          <w:t>20 m</w:t>
        </w:r>
      </w:smartTag>
      <w:r w:rsidRPr="00D6441B">
        <w:rPr>
          <w:rFonts w:ascii="Times New Roman" w:hAnsi="Times New Roman"/>
          <w:sz w:val="24"/>
          <w:szCs w:val="24"/>
        </w:rPr>
        <w:t xml:space="preserve"> olarak kabul edildiğinde her yıl ortalama 211 m</w:t>
      </w:r>
      <w:r w:rsidRPr="00D6441B">
        <w:rPr>
          <w:rFonts w:ascii="Times New Roman" w:hAnsi="Times New Roman"/>
          <w:sz w:val="24"/>
          <w:szCs w:val="24"/>
          <w:vertAlign w:val="superscript"/>
        </w:rPr>
        <w:t>2</w:t>
      </w:r>
      <w:r w:rsidRPr="00D6441B">
        <w:rPr>
          <w:rFonts w:ascii="Times New Roman" w:hAnsi="Times New Roman"/>
          <w:sz w:val="24"/>
          <w:szCs w:val="24"/>
        </w:rPr>
        <w:t xml:space="preserve">’lik (0,021 ha, 0,211 dönüm) bir alandan tasarruf edilmesi </w:t>
      </w:r>
      <w:r w:rsidRPr="00F55172">
        <w:rPr>
          <w:rFonts w:ascii="Times New Roman" w:hAnsi="Times New Roman"/>
          <w:sz w:val="24"/>
          <w:szCs w:val="24"/>
        </w:rPr>
        <w:t>anlamına gelir ki bu durum sistemin bir başka faydası olarak kaydedilebilir</w:t>
      </w:r>
      <w:r w:rsidRPr="00D6441B">
        <w:rPr>
          <w:rFonts w:ascii="Times New Roman" w:hAnsi="Times New Roman"/>
          <w:sz w:val="24"/>
          <w:szCs w:val="24"/>
        </w:rPr>
        <w:t>.</w:t>
      </w:r>
    </w:p>
    <w:p w:rsidR="0026766B" w:rsidRDefault="0026766B" w:rsidP="001F5FA8">
      <w:pPr>
        <w:pStyle w:val="BodyText"/>
        <w:spacing w:before="120" w:line="240" w:lineRule="auto"/>
        <w:jc w:val="center"/>
        <w:rPr>
          <w:rFonts w:ascii="Times New Roman" w:hAnsi="Times New Roman"/>
          <w:b/>
          <w:sz w:val="24"/>
          <w:szCs w:val="24"/>
        </w:rPr>
        <w:sectPr w:rsidR="0026766B" w:rsidSect="00E230BE">
          <w:type w:val="continuous"/>
          <w:pgSz w:w="11906" w:h="16838"/>
          <w:pgMar w:top="1417" w:right="849" w:bottom="1417" w:left="1134" w:header="708" w:footer="340" w:gutter="0"/>
          <w:cols w:num="2" w:space="708"/>
          <w:docGrid w:linePitch="360"/>
        </w:sectPr>
      </w:pPr>
    </w:p>
    <w:p w:rsidR="001F5FA8" w:rsidRPr="00D6441B" w:rsidRDefault="001F5FA8" w:rsidP="001F5FA8">
      <w:pPr>
        <w:pStyle w:val="BodyText"/>
        <w:spacing w:before="120" w:line="240" w:lineRule="auto"/>
        <w:jc w:val="center"/>
        <w:rPr>
          <w:rFonts w:ascii="Times New Roman" w:hAnsi="Times New Roman"/>
          <w:sz w:val="24"/>
          <w:szCs w:val="24"/>
        </w:rPr>
      </w:pPr>
      <w:r>
        <w:rPr>
          <w:rFonts w:ascii="Times New Roman" w:hAnsi="Times New Roman"/>
          <w:noProof/>
          <w:sz w:val="24"/>
          <w:szCs w:val="24"/>
          <w:lang w:val="en-AU" w:eastAsia="en-AU"/>
        </w:rPr>
        <w:lastRenderedPageBreak/>
        <w:drawing>
          <wp:anchor distT="0" distB="0" distL="114300" distR="114300" simplePos="0" relativeHeight="251676672" behindDoc="0" locked="0" layoutInCell="1" allowOverlap="1">
            <wp:simplePos x="0" y="0"/>
            <wp:positionH relativeFrom="column">
              <wp:posOffset>1051560</wp:posOffset>
            </wp:positionH>
            <wp:positionV relativeFrom="paragraph">
              <wp:posOffset>-4445</wp:posOffset>
            </wp:positionV>
            <wp:extent cx="3923030" cy="1962150"/>
            <wp:effectExtent l="19050" t="0" r="20320" b="0"/>
            <wp:wrapTopAndBottom/>
            <wp:docPr id="249" name="Nesnesi 1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Pr="00D6441B">
        <w:rPr>
          <w:rFonts w:ascii="Times New Roman" w:hAnsi="Times New Roman"/>
          <w:b/>
          <w:sz w:val="24"/>
          <w:szCs w:val="24"/>
        </w:rPr>
        <w:t>Şekil 8</w:t>
      </w:r>
      <w:r w:rsidRPr="00D6441B">
        <w:rPr>
          <w:rFonts w:ascii="Times New Roman" w:hAnsi="Times New Roman"/>
          <w:sz w:val="24"/>
          <w:szCs w:val="24"/>
        </w:rPr>
        <w:t>. Bolu-Düzce ve Sakarya illerinin nüfuslarının ADNKS’ne göre zamansal değişimi (TÜİK, 2011)</w:t>
      </w:r>
    </w:p>
    <w:p w:rsidR="00FB192F" w:rsidRDefault="00FB192F" w:rsidP="001F5FA8">
      <w:pPr>
        <w:pStyle w:val="BodyText"/>
        <w:spacing w:before="120" w:line="240" w:lineRule="auto"/>
        <w:jc w:val="both"/>
        <w:rPr>
          <w:rFonts w:ascii="Times New Roman" w:hAnsi="Times New Roman"/>
          <w:b/>
          <w:sz w:val="24"/>
          <w:szCs w:val="24"/>
        </w:rPr>
        <w:sectPr w:rsidR="00FB192F" w:rsidSect="00E230BE">
          <w:type w:val="continuous"/>
          <w:pgSz w:w="11906" w:h="16838"/>
          <w:pgMar w:top="1417" w:right="849" w:bottom="1417" w:left="1134" w:header="708" w:footer="340" w:gutter="0"/>
          <w:cols w:space="708"/>
          <w:docGrid w:linePitch="360"/>
        </w:sectPr>
      </w:pPr>
    </w:p>
    <w:p w:rsidR="001F5FA8" w:rsidRPr="00D6441B" w:rsidRDefault="001F5FA8" w:rsidP="001F5FA8">
      <w:pPr>
        <w:pStyle w:val="BodyText"/>
        <w:spacing w:before="120" w:line="240" w:lineRule="auto"/>
        <w:jc w:val="both"/>
        <w:rPr>
          <w:rFonts w:ascii="Times New Roman" w:hAnsi="Times New Roman"/>
          <w:b/>
          <w:sz w:val="24"/>
          <w:szCs w:val="24"/>
        </w:rPr>
      </w:pPr>
    </w:p>
    <w:p w:rsidR="00FB192F" w:rsidRDefault="00FB192F" w:rsidP="001F5FA8">
      <w:pPr>
        <w:pStyle w:val="BodyText"/>
        <w:spacing w:before="120" w:line="240" w:lineRule="auto"/>
        <w:jc w:val="both"/>
        <w:rPr>
          <w:rFonts w:ascii="Times New Roman" w:hAnsi="Times New Roman"/>
          <w:b/>
          <w:sz w:val="24"/>
          <w:szCs w:val="24"/>
        </w:rPr>
        <w:sectPr w:rsidR="00FB192F" w:rsidSect="00FB192F">
          <w:type w:val="continuous"/>
          <w:pgSz w:w="11906" w:h="16838"/>
          <w:pgMar w:top="1417" w:right="849" w:bottom="1417" w:left="1134" w:header="708" w:footer="708" w:gutter="0"/>
          <w:cols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b/>
          <w:sz w:val="24"/>
          <w:szCs w:val="24"/>
        </w:rPr>
        <w:lastRenderedPageBreak/>
        <w:t>Tablo 1</w:t>
      </w:r>
      <w:r w:rsidRPr="00D6441B">
        <w:rPr>
          <w:rFonts w:ascii="Times New Roman" w:hAnsi="Times New Roman"/>
          <w:sz w:val="24"/>
          <w:szCs w:val="24"/>
        </w:rPr>
        <w:t>. Bolu, Düzce ve Sakarya illerindeki tıbbî atık kaynaklarının sayısı, sahip oldukları yatak sayıları ve ürettikleri tıbbî atık miktarları (SB, 2011; ERA, 2011)</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1"/>
        <w:gridCol w:w="652"/>
        <w:gridCol w:w="567"/>
        <w:gridCol w:w="737"/>
        <w:gridCol w:w="652"/>
        <w:gridCol w:w="567"/>
        <w:gridCol w:w="737"/>
        <w:gridCol w:w="652"/>
        <w:gridCol w:w="567"/>
        <w:gridCol w:w="737"/>
        <w:gridCol w:w="652"/>
        <w:gridCol w:w="737"/>
        <w:gridCol w:w="652"/>
        <w:gridCol w:w="567"/>
        <w:gridCol w:w="737"/>
      </w:tblGrid>
      <w:tr w:rsidR="001F5FA8" w:rsidRPr="00F703CB" w:rsidTr="00FB192F">
        <w:trPr>
          <w:cantSplit/>
          <w:jc w:val="center"/>
        </w:trPr>
        <w:tc>
          <w:tcPr>
            <w:tcW w:w="1011" w:type="dxa"/>
            <w:tcBorders>
              <w:top w:val="nil"/>
              <w:left w:val="nil"/>
              <w:bottom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p>
        </w:tc>
        <w:tc>
          <w:tcPr>
            <w:tcW w:w="5868" w:type="dxa"/>
            <w:gridSpan w:val="9"/>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bCs/>
                <w:sz w:val="20"/>
                <w:szCs w:val="24"/>
                <w:lang w:eastAsia="tr-TR"/>
              </w:rPr>
              <w:t>YATAKLI SAĞLIK KURUMLARI</w:t>
            </w:r>
          </w:p>
        </w:tc>
        <w:tc>
          <w:tcPr>
            <w:tcW w:w="1389" w:type="dxa"/>
            <w:gridSpan w:val="2"/>
            <w:vMerge w:val="restart"/>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bCs/>
                <w:sz w:val="20"/>
                <w:szCs w:val="24"/>
                <w:lang w:eastAsia="tr-TR"/>
              </w:rPr>
              <w:t>YATAKSIZ SAĞLIK KURUMLARI</w:t>
            </w:r>
            <w:r w:rsidRPr="00F703CB">
              <w:rPr>
                <w:rFonts w:ascii="Times New Roman" w:hAnsi="Times New Roman"/>
                <w:b/>
                <w:bCs/>
                <w:sz w:val="20"/>
                <w:szCs w:val="24"/>
                <w:vertAlign w:val="superscript"/>
                <w:lang w:eastAsia="tr-TR"/>
              </w:rPr>
              <w:t>(4)</w:t>
            </w:r>
          </w:p>
        </w:tc>
        <w:tc>
          <w:tcPr>
            <w:tcW w:w="1956" w:type="dxa"/>
            <w:gridSpan w:val="3"/>
            <w:vMerge w:val="restart"/>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bCs/>
                <w:sz w:val="20"/>
                <w:szCs w:val="24"/>
                <w:lang w:eastAsia="tr-TR"/>
              </w:rPr>
              <w:t>TOPLAM</w:t>
            </w:r>
          </w:p>
        </w:tc>
      </w:tr>
      <w:tr w:rsidR="001F5FA8" w:rsidRPr="00F703CB" w:rsidTr="00FB192F">
        <w:trPr>
          <w:cantSplit/>
          <w:jc w:val="center"/>
        </w:trPr>
        <w:tc>
          <w:tcPr>
            <w:tcW w:w="1011" w:type="dxa"/>
            <w:tcBorders>
              <w:top w:val="nil"/>
              <w:lef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p>
        </w:tc>
        <w:tc>
          <w:tcPr>
            <w:tcW w:w="1956" w:type="dxa"/>
            <w:gridSpan w:val="3"/>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bCs/>
                <w:sz w:val="20"/>
                <w:szCs w:val="24"/>
                <w:lang w:eastAsia="tr-TR"/>
              </w:rPr>
              <w:t>SAĞLIK BAKANLIĞI</w:t>
            </w:r>
            <w:r w:rsidRPr="00F703CB">
              <w:rPr>
                <w:rFonts w:ascii="Times New Roman" w:hAnsi="Times New Roman"/>
                <w:b/>
                <w:bCs/>
                <w:sz w:val="20"/>
                <w:szCs w:val="24"/>
                <w:vertAlign w:val="superscript"/>
                <w:lang w:eastAsia="tr-TR"/>
              </w:rPr>
              <w:t>(1)</w:t>
            </w:r>
          </w:p>
        </w:tc>
        <w:tc>
          <w:tcPr>
            <w:tcW w:w="1956" w:type="dxa"/>
            <w:gridSpan w:val="3"/>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bCs/>
                <w:sz w:val="20"/>
                <w:szCs w:val="24"/>
                <w:lang w:eastAsia="tr-TR"/>
              </w:rPr>
              <w:t>ÜNİVERSİTE</w:t>
            </w:r>
            <w:r w:rsidRPr="00F703CB">
              <w:rPr>
                <w:rFonts w:ascii="Times New Roman" w:hAnsi="Times New Roman"/>
                <w:b/>
                <w:bCs/>
                <w:sz w:val="20"/>
                <w:szCs w:val="24"/>
                <w:vertAlign w:val="superscript"/>
                <w:lang w:eastAsia="tr-TR"/>
              </w:rPr>
              <w:t>(2)</w:t>
            </w:r>
          </w:p>
        </w:tc>
        <w:tc>
          <w:tcPr>
            <w:tcW w:w="1956" w:type="dxa"/>
            <w:gridSpan w:val="3"/>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bCs/>
                <w:sz w:val="20"/>
                <w:szCs w:val="24"/>
                <w:lang w:eastAsia="tr-TR"/>
              </w:rPr>
              <w:t>ÖZEL</w:t>
            </w:r>
            <w:r w:rsidRPr="00F703CB">
              <w:rPr>
                <w:rFonts w:ascii="Times New Roman" w:hAnsi="Times New Roman"/>
                <w:b/>
                <w:bCs/>
                <w:sz w:val="20"/>
                <w:szCs w:val="24"/>
                <w:vertAlign w:val="superscript"/>
                <w:lang w:eastAsia="tr-TR"/>
              </w:rPr>
              <w:t>(3)</w:t>
            </w:r>
          </w:p>
        </w:tc>
        <w:tc>
          <w:tcPr>
            <w:tcW w:w="1389" w:type="dxa"/>
            <w:gridSpan w:val="2"/>
            <w:vMerge/>
            <w:vAlign w:val="center"/>
          </w:tcPr>
          <w:p w:rsidR="001F5FA8" w:rsidRPr="00F703CB" w:rsidRDefault="001F5FA8" w:rsidP="008D1314">
            <w:pPr>
              <w:spacing w:after="0" w:line="240" w:lineRule="auto"/>
              <w:jc w:val="both"/>
              <w:rPr>
                <w:rFonts w:ascii="Times New Roman" w:hAnsi="Times New Roman"/>
                <w:b/>
                <w:sz w:val="20"/>
                <w:szCs w:val="24"/>
                <w:lang w:eastAsia="tr-TR"/>
              </w:rPr>
            </w:pPr>
          </w:p>
        </w:tc>
        <w:tc>
          <w:tcPr>
            <w:tcW w:w="1956" w:type="dxa"/>
            <w:gridSpan w:val="3"/>
            <w:vMerge/>
            <w:vAlign w:val="center"/>
          </w:tcPr>
          <w:p w:rsidR="001F5FA8" w:rsidRPr="00F703CB" w:rsidRDefault="001F5FA8" w:rsidP="008D1314">
            <w:pPr>
              <w:spacing w:after="0" w:line="240" w:lineRule="auto"/>
              <w:jc w:val="both"/>
              <w:rPr>
                <w:rFonts w:ascii="Times New Roman" w:hAnsi="Times New Roman"/>
                <w:b/>
                <w:sz w:val="20"/>
                <w:szCs w:val="24"/>
                <w:lang w:eastAsia="tr-TR"/>
              </w:rPr>
            </w:pPr>
          </w:p>
        </w:tc>
      </w:tr>
      <w:tr w:rsidR="001F5FA8" w:rsidRPr="00F703CB" w:rsidTr="00FB192F">
        <w:trPr>
          <w:cantSplit/>
          <w:jc w:val="center"/>
        </w:trPr>
        <w:tc>
          <w:tcPr>
            <w:tcW w:w="1011" w:type="dxa"/>
            <w:shd w:val="clear" w:color="auto" w:fill="auto"/>
            <w:noWrap/>
            <w:vAlign w:val="center"/>
            <w:hideMark/>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İLLER</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Kurum Sayısı</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Yatak Sayısı</w:t>
            </w:r>
          </w:p>
        </w:tc>
        <w:tc>
          <w:tcPr>
            <w:tcW w:w="737" w:type="dxa"/>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Üretilen Atık Miktarı (ton)</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Kurum Sayısı</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Yatak Sayısı</w:t>
            </w:r>
          </w:p>
        </w:tc>
        <w:tc>
          <w:tcPr>
            <w:tcW w:w="737" w:type="dxa"/>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Üretilen Atık Miktarı (ton)</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Kurum Sayısı</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Yatak Sayısı</w:t>
            </w:r>
          </w:p>
        </w:tc>
        <w:tc>
          <w:tcPr>
            <w:tcW w:w="737" w:type="dxa"/>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Üretilen Atık Miktarı (ton)</w:t>
            </w:r>
          </w:p>
        </w:tc>
        <w:tc>
          <w:tcPr>
            <w:tcW w:w="652" w:type="dxa"/>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Kurum Sayısı</w:t>
            </w:r>
          </w:p>
        </w:tc>
        <w:tc>
          <w:tcPr>
            <w:tcW w:w="737" w:type="dxa"/>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Üretilen Atık Miktarı (ton)</w:t>
            </w:r>
          </w:p>
        </w:tc>
        <w:tc>
          <w:tcPr>
            <w:tcW w:w="652" w:type="dxa"/>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Kurum Sayısı</w:t>
            </w:r>
          </w:p>
        </w:tc>
        <w:tc>
          <w:tcPr>
            <w:tcW w:w="567" w:type="dxa"/>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Yatak Sayısı</w:t>
            </w:r>
          </w:p>
        </w:tc>
        <w:tc>
          <w:tcPr>
            <w:tcW w:w="737" w:type="dxa"/>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Üretilen Atık Miktarı (ton)</w:t>
            </w:r>
          </w:p>
        </w:tc>
      </w:tr>
      <w:tr w:rsidR="001F5FA8" w:rsidRPr="00F703CB" w:rsidTr="00FB192F">
        <w:trPr>
          <w:cantSplit/>
          <w:jc w:val="center"/>
        </w:trPr>
        <w:tc>
          <w:tcPr>
            <w:tcW w:w="1011" w:type="dxa"/>
            <w:shd w:val="clear" w:color="auto" w:fill="auto"/>
            <w:noWrap/>
            <w:vAlign w:val="center"/>
            <w:hideMark/>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Bolu</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8</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999</w:t>
            </w:r>
          </w:p>
        </w:tc>
        <w:tc>
          <w:tcPr>
            <w:tcW w:w="737" w:type="dxa"/>
            <w:vAlign w:val="center"/>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111,836</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1</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249</w:t>
            </w:r>
          </w:p>
        </w:tc>
        <w:tc>
          <w:tcPr>
            <w:tcW w:w="737" w:type="dxa"/>
            <w:vAlign w:val="center"/>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54,490</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4</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117</w:t>
            </w:r>
          </w:p>
        </w:tc>
        <w:tc>
          <w:tcPr>
            <w:tcW w:w="73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24,295</w:t>
            </w:r>
          </w:p>
        </w:tc>
        <w:tc>
          <w:tcPr>
            <w:tcW w:w="652"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48</w:t>
            </w:r>
          </w:p>
        </w:tc>
        <w:tc>
          <w:tcPr>
            <w:tcW w:w="73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6,559</w:t>
            </w:r>
          </w:p>
        </w:tc>
        <w:tc>
          <w:tcPr>
            <w:tcW w:w="652"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61</w:t>
            </w:r>
          </w:p>
        </w:tc>
        <w:tc>
          <w:tcPr>
            <w:tcW w:w="56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1.317</w:t>
            </w:r>
          </w:p>
        </w:tc>
        <w:tc>
          <w:tcPr>
            <w:tcW w:w="73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197,180</w:t>
            </w:r>
          </w:p>
        </w:tc>
      </w:tr>
      <w:tr w:rsidR="001F5FA8" w:rsidRPr="00F703CB" w:rsidTr="00FB192F">
        <w:trPr>
          <w:cantSplit/>
          <w:jc w:val="center"/>
        </w:trPr>
        <w:tc>
          <w:tcPr>
            <w:tcW w:w="1011" w:type="dxa"/>
            <w:shd w:val="clear" w:color="auto" w:fill="auto"/>
            <w:noWrap/>
            <w:vAlign w:val="center"/>
            <w:hideMark/>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Düzce</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4</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409</w:t>
            </w:r>
          </w:p>
        </w:tc>
        <w:tc>
          <w:tcPr>
            <w:tcW w:w="737" w:type="dxa"/>
            <w:vAlign w:val="center"/>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75,413</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1</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350</w:t>
            </w:r>
          </w:p>
        </w:tc>
        <w:tc>
          <w:tcPr>
            <w:tcW w:w="737" w:type="dxa"/>
            <w:vAlign w:val="center"/>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59,993</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4</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59</w:t>
            </w:r>
          </w:p>
        </w:tc>
        <w:tc>
          <w:tcPr>
            <w:tcW w:w="73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43.804</w:t>
            </w:r>
          </w:p>
        </w:tc>
        <w:tc>
          <w:tcPr>
            <w:tcW w:w="652"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63</w:t>
            </w:r>
          </w:p>
        </w:tc>
        <w:tc>
          <w:tcPr>
            <w:tcW w:w="73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20,323</w:t>
            </w:r>
            <w:r w:rsidRPr="00F703CB">
              <w:rPr>
                <w:rFonts w:ascii="Times New Roman" w:hAnsi="Times New Roman"/>
                <w:bCs/>
                <w:sz w:val="20"/>
                <w:szCs w:val="24"/>
                <w:vertAlign w:val="superscript"/>
                <w:lang w:eastAsia="tr-TR"/>
              </w:rPr>
              <w:t>(5)</w:t>
            </w:r>
          </w:p>
        </w:tc>
        <w:tc>
          <w:tcPr>
            <w:tcW w:w="652"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72</w:t>
            </w:r>
          </w:p>
        </w:tc>
        <w:tc>
          <w:tcPr>
            <w:tcW w:w="56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818</w:t>
            </w:r>
          </w:p>
        </w:tc>
        <w:tc>
          <w:tcPr>
            <w:tcW w:w="73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199,533</w:t>
            </w:r>
          </w:p>
        </w:tc>
      </w:tr>
      <w:tr w:rsidR="001F5FA8" w:rsidRPr="00F703CB" w:rsidTr="00FB192F">
        <w:trPr>
          <w:cantSplit/>
          <w:jc w:val="center"/>
        </w:trPr>
        <w:tc>
          <w:tcPr>
            <w:tcW w:w="1011" w:type="dxa"/>
            <w:shd w:val="clear" w:color="auto" w:fill="auto"/>
            <w:noWrap/>
            <w:vAlign w:val="center"/>
            <w:hideMark/>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Sakarya</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12</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1.277</w:t>
            </w:r>
          </w:p>
        </w:tc>
        <w:tc>
          <w:tcPr>
            <w:tcW w:w="737" w:type="dxa"/>
            <w:vAlign w:val="center"/>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343,907</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w:t>
            </w:r>
          </w:p>
        </w:tc>
        <w:tc>
          <w:tcPr>
            <w:tcW w:w="737" w:type="dxa"/>
            <w:vAlign w:val="center"/>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w:t>
            </w:r>
          </w:p>
        </w:tc>
        <w:tc>
          <w:tcPr>
            <w:tcW w:w="652"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13</w:t>
            </w:r>
          </w:p>
        </w:tc>
        <w:tc>
          <w:tcPr>
            <w:tcW w:w="567" w:type="dxa"/>
            <w:shd w:val="clear" w:color="auto" w:fill="auto"/>
            <w:noWrap/>
            <w:vAlign w:val="center"/>
            <w:hideMark/>
          </w:tcPr>
          <w:p w:rsidR="001F5FA8" w:rsidRPr="00F703CB" w:rsidRDefault="001F5FA8" w:rsidP="008D1314">
            <w:pPr>
              <w:spacing w:after="0" w:line="240" w:lineRule="auto"/>
              <w:jc w:val="both"/>
              <w:rPr>
                <w:rFonts w:ascii="Times New Roman" w:hAnsi="Times New Roman"/>
                <w:sz w:val="20"/>
                <w:szCs w:val="24"/>
                <w:lang w:eastAsia="tr-TR"/>
              </w:rPr>
            </w:pPr>
            <w:r w:rsidRPr="00F703CB">
              <w:rPr>
                <w:rFonts w:ascii="Times New Roman" w:hAnsi="Times New Roman"/>
                <w:sz w:val="20"/>
                <w:szCs w:val="24"/>
                <w:lang w:eastAsia="tr-TR"/>
              </w:rPr>
              <w:t>342</w:t>
            </w:r>
          </w:p>
        </w:tc>
        <w:tc>
          <w:tcPr>
            <w:tcW w:w="73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148,148</w:t>
            </w:r>
          </w:p>
        </w:tc>
        <w:tc>
          <w:tcPr>
            <w:tcW w:w="652"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157</w:t>
            </w:r>
          </w:p>
        </w:tc>
        <w:tc>
          <w:tcPr>
            <w:tcW w:w="73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20,023</w:t>
            </w:r>
          </w:p>
        </w:tc>
        <w:tc>
          <w:tcPr>
            <w:tcW w:w="652"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175</w:t>
            </w:r>
          </w:p>
        </w:tc>
        <w:tc>
          <w:tcPr>
            <w:tcW w:w="56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1.619</w:t>
            </w:r>
          </w:p>
        </w:tc>
        <w:tc>
          <w:tcPr>
            <w:tcW w:w="737" w:type="dxa"/>
            <w:vAlign w:val="center"/>
          </w:tcPr>
          <w:p w:rsidR="001F5FA8" w:rsidRPr="00F703CB" w:rsidRDefault="001F5FA8" w:rsidP="008D1314">
            <w:pPr>
              <w:spacing w:after="0" w:line="240" w:lineRule="auto"/>
              <w:jc w:val="both"/>
              <w:rPr>
                <w:rFonts w:ascii="Times New Roman" w:hAnsi="Times New Roman"/>
                <w:bCs/>
                <w:sz w:val="20"/>
                <w:szCs w:val="24"/>
                <w:lang w:eastAsia="tr-TR"/>
              </w:rPr>
            </w:pPr>
            <w:r w:rsidRPr="00F703CB">
              <w:rPr>
                <w:rFonts w:ascii="Times New Roman" w:hAnsi="Times New Roman"/>
                <w:bCs/>
                <w:sz w:val="20"/>
                <w:szCs w:val="24"/>
                <w:lang w:eastAsia="tr-TR"/>
              </w:rPr>
              <w:t>512,078</w:t>
            </w:r>
          </w:p>
        </w:tc>
      </w:tr>
      <w:tr w:rsidR="001F5FA8" w:rsidRPr="00F703CB" w:rsidTr="00FB192F">
        <w:trPr>
          <w:cantSplit/>
          <w:jc w:val="center"/>
        </w:trPr>
        <w:tc>
          <w:tcPr>
            <w:tcW w:w="1011" w:type="dxa"/>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TOPLAM</w:t>
            </w:r>
          </w:p>
        </w:tc>
        <w:tc>
          <w:tcPr>
            <w:tcW w:w="652" w:type="dxa"/>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24</w:t>
            </w:r>
          </w:p>
        </w:tc>
        <w:tc>
          <w:tcPr>
            <w:tcW w:w="567" w:type="dxa"/>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2.685</w:t>
            </w:r>
          </w:p>
        </w:tc>
        <w:tc>
          <w:tcPr>
            <w:tcW w:w="737" w:type="dxa"/>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531,156</w:t>
            </w:r>
          </w:p>
        </w:tc>
        <w:tc>
          <w:tcPr>
            <w:tcW w:w="652" w:type="dxa"/>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2</w:t>
            </w:r>
          </w:p>
        </w:tc>
        <w:tc>
          <w:tcPr>
            <w:tcW w:w="567" w:type="dxa"/>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599</w:t>
            </w:r>
          </w:p>
        </w:tc>
        <w:tc>
          <w:tcPr>
            <w:tcW w:w="737" w:type="dxa"/>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114,483</w:t>
            </w:r>
          </w:p>
        </w:tc>
        <w:tc>
          <w:tcPr>
            <w:tcW w:w="652" w:type="dxa"/>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21</w:t>
            </w:r>
          </w:p>
        </w:tc>
        <w:tc>
          <w:tcPr>
            <w:tcW w:w="567" w:type="dxa"/>
            <w:shd w:val="clear" w:color="auto" w:fill="auto"/>
            <w:noWrap/>
            <w:vAlign w:val="center"/>
          </w:tcPr>
          <w:p w:rsidR="001F5FA8" w:rsidRPr="00F703CB" w:rsidRDefault="001F5FA8" w:rsidP="008D1314">
            <w:pPr>
              <w:spacing w:after="0" w:line="240" w:lineRule="auto"/>
              <w:jc w:val="both"/>
              <w:rPr>
                <w:rFonts w:ascii="Times New Roman" w:hAnsi="Times New Roman"/>
                <w:b/>
                <w:sz w:val="20"/>
                <w:szCs w:val="24"/>
                <w:lang w:eastAsia="tr-TR"/>
              </w:rPr>
            </w:pPr>
            <w:r w:rsidRPr="00F703CB">
              <w:rPr>
                <w:rFonts w:ascii="Times New Roman" w:hAnsi="Times New Roman"/>
                <w:b/>
                <w:sz w:val="20"/>
                <w:szCs w:val="24"/>
                <w:lang w:eastAsia="tr-TR"/>
              </w:rPr>
              <w:t>518</w:t>
            </w:r>
          </w:p>
        </w:tc>
        <w:tc>
          <w:tcPr>
            <w:tcW w:w="737" w:type="dxa"/>
            <w:vAlign w:val="center"/>
          </w:tcPr>
          <w:p w:rsidR="001F5FA8" w:rsidRPr="00F703CB" w:rsidRDefault="001F5FA8" w:rsidP="008D1314">
            <w:pPr>
              <w:spacing w:after="0" w:line="240" w:lineRule="auto"/>
              <w:jc w:val="both"/>
              <w:rPr>
                <w:rFonts w:ascii="Times New Roman" w:hAnsi="Times New Roman"/>
                <w:b/>
                <w:bCs/>
                <w:sz w:val="20"/>
                <w:szCs w:val="24"/>
                <w:lang w:eastAsia="tr-TR"/>
              </w:rPr>
            </w:pPr>
            <w:r w:rsidRPr="00F703CB">
              <w:rPr>
                <w:rFonts w:ascii="Times New Roman" w:hAnsi="Times New Roman"/>
                <w:b/>
                <w:bCs/>
                <w:sz w:val="20"/>
                <w:szCs w:val="24"/>
                <w:lang w:eastAsia="tr-TR"/>
              </w:rPr>
              <w:t>216,247</w:t>
            </w:r>
          </w:p>
        </w:tc>
        <w:tc>
          <w:tcPr>
            <w:tcW w:w="652" w:type="dxa"/>
            <w:vAlign w:val="center"/>
          </w:tcPr>
          <w:p w:rsidR="001F5FA8" w:rsidRPr="00F703CB" w:rsidRDefault="001F5FA8" w:rsidP="008D1314">
            <w:pPr>
              <w:spacing w:after="0" w:line="240" w:lineRule="auto"/>
              <w:jc w:val="both"/>
              <w:rPr>
                <w:rFonts w:ascii="Times New Roman" w:hAnsi="Times New Roman"/>
                <w:b/>
                <w:bCs/>
                <w:sz w:val="20"/>
                <w:szCs w:val="24"/>
                <w:lang w:eastAsia="tr-TR"/>
              </w:rPr>
            </w:pPr>
            <w:r w:rsidRPr="00F703CB">
              <w:rPr>
                <w:rFonts w:ascii="Times New Roman" w:hAnsi="Times New Roman"/>
                <w:b/>
                <w:bCs/>
                <w:sz w:val="20"/>
                <w:szCs w:val="24"/>
                <w:lang w:eastAsia="tr-TR"/>
              </w:rPr>
              <w:t>268</w:t>
            </w:r>
          </w:p>
        </w:tc>
        <w:tc>
          <w:tcPr>
            <w:tcW w:w="737" w:type="dxa"/>
            <w:vAlign w:val="center"/>
          </w:tcPr>
          <w:p w:rsidR="001F5FA8" w:rsidRPr="00F703CB" w:rsidRDefault="001F5FA8" w:rsidP="008D1314">
            <w:pPr>
              <w:spacing w:after="0" w:line="240" w:lineRule="auto"/>
              <w:jc w:val="both"/>
              <w:rPr>
                <w:rFonts w:ascii="Times New Roman" w:hAnsi="Times New Roman"/>
                <w:b/>
                <w:bCs/>
                <w:sz w:val="20"/>
                <w:szCs w:val="24"/>
                <w:lang w:eastAsia="tr-TR"/>
              </w:rPr>
            </w:pPr>
            <w:r w:rsidRPr="00F703CB">
              <w:rPr>
                <w:rFonts w:ascii="Times New Roman" w:hAnsi="Times New Roman"/>
                <w:b/>
                <w:bCs/>
                <w:sz w:val="20"/>
                <w:szCs w:val="24"/>
                <w:lang w:eastAsia="tr-TR"/>
              </w:rPr>
              <w:t>46,905</w:t>
            </w:r>
          </w:p>
        </w:tc>
        <w:tc>
          <w:tcPr>
            <w:tcW w:w="652" w:type="dxa"/>
            <w:vAlign w:val="center"/>
          </w:tcPr>
          <w:p w:rsidR="001F5FA8" w:rsidRPr="00F703CB" w:rsidRDefault="001F5FA8" w:rsidP="008D1314">
            <w:pPr>
              <w:spacing w:after="0" w:line="240" w:lineRule="auto"/>
              <w:jc w:val="both"/>
              <w:rPr>
                <w:rFonts w:ascii="Times New Roman" w:hAnsi="Times New Roman"/>
                <w:b/>
                <w:bCs/>
                <w:sz w:val="20"/>
                <w:szCs w:val="24"/>
                <w:lang w:eastAsia="tr-TR"/>
              </w:rPr>
            </w:pPr>
            <w:r w:rsidRPr="00F703CB">
              <w:rPr>
                <w:rFonts w:ascii="Times New Roman" w:hAnsi="Times New Roman"/>
                <w:b/>
                <w:bCs/>
                <w:sz w:val="20"/>
                <w:szCs w:val="24"/>
                <w:lang w:eastAsia="tr-TR"/>
              </w:rPr>
              <w:t>308</w:t>
            </w:r>
          </w:p>
        </w:tc>
        <w:tc>
          <w:tcPr>
            <w:tcW w:w="567" w:type="dxa"/>
            <w:vAlign w:val="center"/>
          </w:tcPr>
          <w:p w:rsidR="001F5FA8" w:rsidRPr="00F703CB" w:rsidRDefault="001F5FA8" w:rsidP="008D1314">
            <w:pPr>
              <w:spacing w:after="0" w:line="240" w:lineRule="auto"/>
              <w:jc w:val="both"/>
              <w:rPr>
                <w:rFonts w:ascii="Times New Roman" w:hAnsi="Times New Roman"/>
                <w:b/>
                <w:bCs/>
                <w:sz w:val="20"/>
                <w:szCs w:val="24"/>
                <w:lang w:eastAsia="tr-TR"/>
              </w:rPr>
            </w:pPr>
            <w:r w:rsidRPr="00F703CB">
              <w:rPr>
                <w:rFonts w:ascii="Times New Roman" w:hAnsi="Times New Roman"/>
                <w:b/>
                <w:bCs/>
                <w:sz w:val="20"/>
                <w:szCs w:val="24"/>
                <w:lang w:eastAsia="tr-TR"/>
              </w:rPr>
              <w:t>3.754</w:t>
            </w:r>
          </w:p>
        </w:tc>
        <w:tc>
          <w:tcPr>
            <w:tcW w:w="737" w:type="dxa"/>
            <w:vAlign w:val="center"/>
          </w:tcPr>
          <w:p w:rsidR="001F5FA8" w:rsidRPr="00F703CB" w:rsidRDefault="001F5FA8" w:rsidP="008D1314">
            <w:pPr>
              <w:spacing w:after="0" w:line="240" w:lineRule="auto"/>
              <w:jc w:val="both"/>
              <w:rPr>
                <w:rFonts w:ascii="Times New Roman" w:hAnsi="Times New Roman"/>
                <w:b/>
                <w:bCs/>
                <w:sz w:val="20"/>
                <w:szCs w:val="24"/>
                <w:lang w:eastAsia="tr-TR"/>
              </w:rPr>
            </w:pPr>
            <w:r w:rsidRPr="00F703CB">
              <w:rPr>
                <w:rFonts w:ascii="Times New Roman" w:hAnsi="Times New Roman"/>
                <w:b/>
                <w:bCs/>
                <w:sz w:val="20"/>
                <w:szCs w:val="24"/>
                <w:lang w:eastAsia="tr-TR"/>
              </w:rPr>
              <w:t>908,791</w:t>
            </w:r>
          </w:p>
        </w:tc>
      </w:tr>
    </w:tbl>
    <w:p w:rsidR="00FB192F" w:rsidRDefault="00FB192F" w:rsidP="001F5FA8">
      <w:pPr>
        <w:pStyle w:val="BodyText"/>
        <w:spacing w:before="120" w:line="240" w:lineRule="auto"/>
        <w:jc w:val="both"/>
        <w:rPr>
          <w:rFonts w:ascii="Times New Roman" w:hAnsi="Times New Roman"/>
          <w:sz w:val="24"/>
          <w:szCs w:val="24"/>
        </w:rPr>
        <w:sectPr w:rsidR="00FB192F" w:rsidSect="00FB192F">
          <w:type w:val="continuous"/>
          <w:pgSz w:w="11906" w:h="16838"/>
          <w:pgMar w:top="1417" w:right="849" w:bottom="1417" w:left="1134" w:header="708" w:footer="708" w:gutter="0"/>
          <w:cols w:space="708"/>
          <w:docGrid w:linePitch="360"/>
        </w:sectPr>
      </w:pPr>
    </w:p>
    <w:p w:rsidR="00FB192F" w:rsidRDefault="00FB192F" w:rsidP="001F5FA8">
      <w:pPr>
        <w:pStyle w:val="BodyText"/>
        <w:spacing w:before="120" w:line="240" w:lineRule="auto"/>
        <w:jc w:val="both"/>
        <w:rPr>
          <w:rFonts w:ascii="Times New Roman" w:hAnsi="Times New Roman"/>
          <w:sz w:val="24"/>
          <w:szCs w:val="24"/>
        </w:rPr>
      </w:pPr>
    </w:p>
    <w:p w:rsidR="00FB192F" w:rsidRDefault="00FB192F" w:rsidP="001F5FA8">
      <w:pPr>
        <w:pStyle w:val="BodyText"/>
        <w:spacing w:before="120" w:line="240" w:lineRule="auto"/>
        <w:jc w:val="both"/>
        <w:rPr>
          <w:rFonts w:ascii="Times New Roman" w:hAnsi="Times New Roman"/>
          <w:sz w:val="24"/>
          <w:szCs w:val="24"/>
        </w:rPr>
      </w:pPr>
    </w:p>
    <w:p w:rsidR="00FB192F" w:rsidRDefault="00FB192F" w:rsidP="001F5FA8">
      <w:pPr>
        <w:pStyle w:val="BodyText"/>
        <w:spacing w:before="120" w:line="240" w:lineRule="auto"/>
        <w:jc w:val="both"/>
        <w:rPr>
          <w:rFonts w:ascii="Times New Roman" w:hAnsi="Times New Roman"/>
          <w:sz w:val="24"/>
          <w:szCs w:val="24"/>
        </w:rPr>
        <w:sectPr w:rsidR="00FB192F" w:rsidSect="00FB192F">
          <w:type w:val="continuous"/>
          <w:pgSz w:w="11906" w:h="16838"/>
          <w:pgMar w:top="1417" w:right="849" w:bottom="1417" w:left="1134" w:header="708" w:footer="708" w:gutter="0"/>
          <w:cols w:num="2"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lastRenderedPageBreak/>
        <w:t>Not: Tablodaki tüm değerler 2010 yılına ait olup Sağlık Bakanlığı ve ERA Çevre Teknolojileri verilerinden derlenmiştir.</w:t>
      </w:r>
    </w:p>
    <w:p w:rsidR="00FB192F" w:rsidRDefault="00FB192F" w:rsidP="001F5FA8">
      <w:pPr>
        <w:pStyle w:val="BodyText"/>
        <w:spacing w:before="120" w:line="240" w:lineRule="auto"/>
        <w:jc w:val="both"/>
        <w:rPr>
          <w:rFonts w:ascii="Times New Roman" w:hAnsi="Times New Roman"/>
          <w:sz w:val="24"/>
          <w:szCs w:val="24"/>
          <w:vertAlign w:val="superscript"/>
        </w:rPr>
        <w:sectPr w:rsidR="00FB192F" w:rsidSect="00FB192F">
          <w:type w:val="continuous"/>
          <w:pgSz w:w="11906" w:h="16838"/>
          <w:pgMar w:top="1417" w:right="849" w:bottom="1417" w:left="1134" w:header="708" w:footer="708" w:gutter="0"/>
          <w:cols w:space="708"/>
          <w:docGrid w:linePitch="360"/>
        </w:sectPr>
      </w:pPr>
    </w:p>
    <w:p w:rsidR="00FB192F" w:rsidRDefault="00FB192F" w:rsidP="001F5FA8">
      <w:pPr>
        <w:pStyle w:val="BodyText"/>
        <w:spacing w:before="120" w:line="240" w:lineRule="auto"/>
        <w:jc w:val="both"/>
        <w:rPr>
          <w:rFonts w:ascii="Times New Roman" w:hAnsi="Times New Roman"/>
          <w:sz w:val="24"/>
          <w:szCs w:val="24"/>
          <w:vertAlign w:val="superscript"/>
        </w:rPr>
        <w:sectPr w:rsidR="00FB192F" w:rsidSect="00FB192F">
          <w:type w:val="continuous"/>
          <w:pgSz w:w="11906" w:h="16838"/>
          <w:pgMar w:top="1417" w:right="849" w:bottom="1417" w:left="1134" w:header="708" w:footer="708" w:gutter="0"/>
          <w:cols w:num="2"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vertAlign w:val="superscript"/>
        </w:rPr>
        <w:lastRenderedPageBreak/>
        <w:t>(1)</w:t>
      </w:r>
      <w:r w:rsidRPr="00D6441B">
        <w:rPr>
          <w:rFonts w:ascii="Times New Roman" w:hAnsi="Times New Roman"/>
          <w:sz w:val="24"/>
          <w:szCs w:val="24"/>
        </w:rPr>
        <w:t xml:space="preserve"> Sağlık Bakanlığına bağlı yataklı sağlık kuruluşlarını ifade eder.</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vertAlign w:val="superscript"/>
        </w:rPr>
        <w:t>(2)</w:t>
      </w:r>
      <w:r w:rsidRPr="00D6441B">
        <w:rPr>
          <w:rFonts w:ascii="Times New Roman" w:hAnsi="Times New Roman"/>
          <w:sz w:val="24"/>
          <w:szCs w:val="24"/>
        </w:rPr>
        <w:t xml:space="preserve"> Üniversite hastahanelerini ifade eder.</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vertAlign w:val="superscript"/>
        </w:rPr>
        <w:t>(3)</w:t>
      </w:r>
      <w:r w:rsidRPr="00D6441B">
        <w:rPr>
          <w:rFonts w:ascii="Times New Roman" w:hAnsi="Times New Roman"/>
          <w:sz w:val="24"/>
          <w:szCs w:val="24"/>
        </w:rPr>
        <w:t xml:space="preserve"> Yataklı özel hastahaneleri ve diyaliz merkezlerini ifade eder.</w:t>
      </w:r>
    </w:p>
    <w:p w:rsidR="00FB192F"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vertAlign w:val="superscript"/>
        </w:rPr>
        <w:t>(4)</w:t>
      </w:r>
      <w:r w:rsidRPr="00D6441B">
        <w:rPr>
          <w:rFonts w:ascii="Times New Roman" w:hAnsi="Times New Roman"/>
          <w:sz w:val="24"/>
          <w:szCs w:val="24"/>
        </w:rPr>
        <w:t xml:space="preserve"> Ayakta tedavi hizmeti verilen yataksız tüm sağlık kuruluşları, muayenehaneler, poliklinikler, işyeri revirleri, aile sağlığı merkezleri dâhildir.</w:t>
      </w:r>
    </w:p>
    <w:p w:rsidR="00FB192F"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vertAlign w:val="superscript"/>
        </w:rPr>
        <w:t>(5)</w:t>
      </w:r>
      <w:r w:rsidRPr="00D6441B">
        <w:rPr>
          <w:rFonts w:ascii="Times New Roman" w:hAnsi="Times New Roman"/>
          <w:sz w:val="24"/>
          <w:szCs w:val="24"/>
        </w:rPr>
        <w:t xml:space="preserve"> Düzce ilindeki yataksız </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lastRenderedPageBreak/>
        <w:t xml:space="preserve">sağlık kurumlarından </w:t>
      </w:r>
      <w:r w:rsidRPr="00FB192F">
        <w:rPr>
          <w:rFonts w:ascii="Times New Roman" w:hAnsi="Times New Roman"/>
          <w:sz w:val="24"/>
          <w:szCs w:val="24"/>
        </w:rPr>
        <w:t>kaynaklanan tıbbî atık miktarının fazla</w:t>
      </w:r>
      <w:r w:rsidRPr="00D6441B">
        <w:rPr>
          <w:rFonts w:ascii="Times New Roman" w:hAnsi="Times New Roman"/>
          <w:sz w:val="24"/>
          <w:szCs w:val="24"/>
        </w:rPr>
        <w:t xml:space="preserve"> olmasının sebebi bu ilde önemli bir atık üreticisi olan Kızılay Kan Merkezinin yer alıyor olmasıdır. Kızılay Kan Merkezi 2010 yılında 14,367 ton tıbbî atık üretmiştir.</w:t>
      </w:r>
    </w:p>
    <w:p w:rsidR="001F5FA8" w:rsidRPr="00D6441B" w:rsidRDefault="001F5FA8"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Not. 2011 değerleri, yılın ilk 6 ayının değerleridir.</w:t>
      </w:r>
    </w:p>
    <w:p w:rsidR="00FB192F" w:rsidRDefault="00FB192F" w:rsidP="001F5FA8">
      <w:pPr>
        <w:pStyle w:val="BodyText"/>
        <w:spacing w:before="120" w:line="240" w:lineRule="auto"/>
        <w:jc w:val="both"/>
        <w:rPr>
          <w:rFonts w:ascii="Times New Roman" w:hAnsi="Times New Roman"/>
          <w:sz w:val="24"/>
          <w:szCs w:val="24"/>
        </w:rPr>
        <w:sectPr w:rsidR="00FB192F" w:rsidSect="00FB192F">
          <w:type w:val="continuous"/>
          <w:pgSz w:w="11906" w:h="16838"/>
          <w:pgMar w:top="1417" w:right="849" w:bottom="1417" w:left="1134" w:header="708" w:footer="708" w:gutter="0"/>
          <w:cols w:num="2"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p>
    <w:p w:rsidR="00FB192F" w:rsidRDefault="00FB192F" w:rsidP="001F5FA8">
      <w:pPr>
        <w:pStyle w:val="BodyText"/>
        <w:spacing w:before="120" w:line="240" w:lineRule="auto"/>
        <w:jc w:val="center"/>
        <w:rPr>
          <w:rFonts w:ascii="Times New Roman" w:hAnsi="Times New Roman"/>
          <w:b/>
          <w:sz w:val="24"/>
          <w:szCs w:val="24"/>
        </w:rPr>
        <w:sectPr w:rsidR="00FB192F" w:rsidSect="00FB192F">
          <w:type w:val="continuous"/>
          <w:pgSz w:w="11906" w:h="16838"/>
          <w:pgMar w:top="1417" w:right="849" w:bottom="1417" w:left="1134" w:header="708" w:footer="708" w:gutter="0"/>
          <w:cols w:space="708"/>
          <w:docGrid w:linePitch="360"/>
        </w:sectPr>
      </w:pPr>
    </w:p>
    <w:p w:rsidR="001F5FA8" w:rsidRPr="00D6441B" w:rsidRDefault="001F5FA8" w:rsidP="001F5FA8">
      <w:pPr>
        <w:pStyle w:val="BodyText"/>
        <w:spacing w:before="120" w:line="240" w:lineRule="auto"/>
        <w:jc w:val="center"/>
        <w:rPr>
          <w:rFonts w:ascii="Times New Roman" w:hAnsi="Times New Roman"/>
          <w:sz w:val="24"/>
          <w:szCs w:val="24"/>
        </w:rPr>
      </w:pPr>
      <w:r>
        <w:rPr>
          <w:rFonts w:ascii="Times New Roman" w:hAnsi="Times New Roman"/>
          <w:noProof/>
          <w:sz w:val="24"/>
          <w:szCs w:val="24"/>
          <w:lang w:val="en-AU" w:eastAsia="en-AU"/>
        </w:rPr>
        <w:lastRenderedPageBreak/>
        <w:drawing>
          <wp:anchor distT="0" distB="0" distL="114300" distR="114300" simplePos="0" relativeHeight="251675648" behindDoc="0" locked="0" layoutInCell="1" allowOverlap="1">
            <wp:simplePos x="0" y="0"/>
            <wp:positionH relativeFrom="column">
              <wp:align>left</wp:align>
            </wp:positionH>
            <wp:positionV relativeFrom="paragraph">
              <wp:posOffset>-172720</wp:posOffset>
            </wp:positionV>
            <wp:extent cx="6213475" cy="2441575"/>
            <wp:effectExtent l="0" t="0" r="0" b="0"/>
            <wp:wrapTopAndBottom/>
            <wp:docPr id="248" name="Nesnesi 1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Pr="00D6441B">
        <w:rPr>
          <w:rFonts w:ascii="Times New Roman" w:hAnsi="Times New Roman"/>
          <w:b/>
          <w:sz w:val="24"/>
          <w:szCs w:val="24"/>
        </w:rPr>
        <w:t>Şekil 9</w:t>
      </w:r>
      <w:r w:rsidRPr="00D6441B">
        <w:rPr>
          <w:rFonts w:ascii="Times New Roman" w:hAnsi="Times New Roman"/>
          <w:sz w:val="24"/>
          <w:szCs w:val="24"/>
        </w:rPr>
        <w:t>. Bolu, Düzce ve Sakarya illerinde toplanan toplam tıbbî atık miktarlarının zamansal değişimi (ÇOB, 2007abc;2008abc;2009abc;2010abc; SBB, 2009; ERA, 2011)</w:t>
      </w:r>
    </w:p>
    <w:p w:rsidR="00FB192F" w:rsidRDefault="00FB192F" w:rsidP="001F5FA8">
      <w:pPr>
        <w:pStyle w:val="BodyText"/>
        <w:spacing w:before="120" w:line="240" w:lineRule="auto"/>
        <w:jc w:val="both"/>
        <w:rPr>
          <w:rFonts w:ascii="Times New Roman" w:hAnsi="Times New Roman"/>
          <w:sz w:val="24"/>
          <w:szCs w:val="24"/>
        </w:rPr>
        <w:sectPr w:rsidR="00FB192F" w:rsidSect="00E230BE">
          <w:type w:val="continuous"/>
          <w:pgSz w:w="11906" w:h="16838"/>
          <w:pgMar w:top="1417" w:right="849" w:bottom="1417" w:left="1134" w:header="708" w:footer="340" w:gutter="0"/>
          <w:cols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b/>
          <w:sz w:val="24"/>
          <w:szCs w:val="24"/>
        </w:rPr>
        <w:t>Tablo 2</w:t>
      </w:r>
      <w:r w:rsidRPr="00D6441B">
        <w:rPr>
          <w:rFonts w:ascii="Times New Roman" w:hAnsi="Times New Roman"/>
          <w:sz w:val="24"/>
          <w:szCs w:val="24"/>
        </w:rPr>
        <w:t>. Oluşması beklenen ve toplanmış olan tıbbî atık miktarlarının kıyaslaması</w:t>
      </w:r>
    </w:p>
    <w:tbl>
      <w:tblPr>
        <w:tblW w:w="0" w:type="auto"/>
        <w:jc w:val="center"/>
        <w:tblLayout w:type="fixed"/>
        <w:tblCellMar>
          <w:left w:w="70" w:type="dxa"/>
          <w:right w:w="70" w:type="dxa"/>
        </w:tblCellMar>
        <w:tblLook w:val="04A0" w:firstRow="1" w:lastRow="0" w:firstColumn="1" w:lastColumn="0" w:noHBand="0" w:noVBand="1"/>
      </w:tblPr>
      <w:tblGrid>
        <w:gridCol w:w="851"/>
        <w:gridCol w:w="1361"/>
        <w:gridCol w:w="1276"/>
        <w:gridCol w:w="1276"/>
        <w:gridCol w:w="1276"/>
        <w:gridCol w:w="1304"/>
        <w:gridCol w:w="1276"/>
        <w:gridCol w:w="1276"/>
      </w:tblGrid>
      <w:tr w:rsidR="001F5FA8" w:rsidRPr="00F703CB" w:rsidTr="008D1314">
        <w:trPr>
          <w:jc w:val="center"/>
        </w:trPr>
        <w:tc>
          <w:tcPr>
            <w:tcW w:w="851" w:type="dxa"/>
            <w:tcBorders>
              <w:left w:val="nil"/>
              <w:right w:val="nil"/>
            </w:tcBorders>
          </w:tcPr>
          <w:p w:rsidR="001F5FA8" w:rsidRPr="00F703CB" w:rsidRDefault="001F5FA8" w:rsidP="008D1314">
            <w:pPr>
              <w:spacing w:after="0" w:line="240" w:lineRule="auto"/>
              <w:jc w:val="both"/>
              <w:rPr>
                <w:rFonts w:ascii="Times New Roman" w:hAnsi="Times New Roman"/>
                <w:color w:val="000000"/>
                <w:sz w:val="20"/>
                <w:szCs w:val="24"/>
              </w:rPr>
            </w:pPr>
          </w:p>
        </w:tc>
        <w:tc>
          <w:tcPr>
            <w:tcW w:w="1361" w:type="dxa"/>
            <w:vMerge w:val="restart"/>
            <w:tcBorders>
              <w:left w:val="nil"/>
              <w:bottom w:val="single" w:sz="4" w:space="0" w:color="000000"/>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p>
        </w:tc>
        <w:tc>
          <w:tcPr>
            <w:tcW w:w="1276" w:type="dxa"/>
            <w:tcBorders>
              <w:top w:val="single" w:sz="4" w:space="0" w:color="auto"/>
              <w:left w:val="nil"/>
              <w:bottom w:val="single" w:sz="4" w:space="0" w:color="auto"/>
              <w:right w:val="nil"/>
            </w:tcBorders>
            <w:shd w:val="clear" w:color="auto" w:fill="auto"/>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Tıbbî Atık Birim Miktarı</w:t>
            </w:r>
          </w:p>
        </w:tc>
        <w:tc>
          <w:tcPr>
            <w:tcW w:w="1276" w:type="dxa"/>
            <w:tcBorders>
              <w:top w:val="single" w:sz="4" w:space="0" w:color="auto"/>
              <w:left w:val="nil"/>
              <w:bottom w:val="single" w:sz="4" w:space="0" w:color="auto"/>
              <w:right w:val="nil"/>
            </w:tcBorders>
            <w:shd w:val="clear" w:color="auto" w:fill="auto"/>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Nüfus</w:t>
            </w:r>
            <w:r w:rsidRPr="00F703CB">
              <w:rPr>
                <w:rFonts w:ascii="Times New Roman" w:hAnsi="Times New Roman"/>
                <w:b/>
                <w:bCs/>
                <w:color w:val="000000"/>
                <w:sz w:val="20"/>
                <w:szCs w:val="24"/>
                <w:vertAlign w:val="superscript"/>
              </w:rPr>
              <w:t>(1)</w:t>
            </w:r>
          </w:p>
        </w:tc>
        <w:tc>
          <w:tcPr>
            <w:tcW w:w="1276" w:type="dxa"/>
            <w:tcBorders>
              <w:top w:val="single" w:sz="4" w:space="0" w:color="auto"/>
              <w:left w:val="nil"/>
              <w:bottom w:val="single" w:sz="4" w:space="0" w:color="auto"/>
              <w:right w:val="nil"/>
            </w:tcBorders>
            <w:shd w:val="clear" w:color="auto" w:fill="auto"/>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Tıbbî Atık Miktarı</w:t>
            </w:r>
          </w:p>
        </w:tc>
        <w:tc>
          <w:tcPr>
            <w:tcW w:w="1304" w:type="dxa"/>
            <w:tcBorders>
              <w:top w:val="single" w:sz="4" w:space="0" w:color="auto"/>
              <w:bottom w:val="single" w:sz="4" w:space="0" w:color="auto"/>
            </w:tcBorders>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Tıbbî Atık Birim Miktarı</w:t>
            </w:r>
          </w:p>
        </w:tc>
        <w:tc>
          <w:tcPr>
            <w:tcW w:w="1276" w:type="dxa"/>
            <w:tcBorders>
              <w:top w:val="single" w:sz="4" w:space="0" w:color="auto"/>
              <w:bottom w:val="single" w:sz="4" w:space="0" w:color="auto"/>
            </w:tcBorders>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Yatak</w:t>
            </w:r>
          </w:p>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 xml:space="preserve">Sayısı </w:t>
            </w:r>
            <w:r w:rsidRPr="00F703CB">
              <w:rPr>
                <w:rFonts w:ascii="Times New Roman" w:hAnsi="Times New Roman"/>
                <w:b/>
                <w:bCs/>
                <w:color w:val="000000"/>
                <w:sz w:val="20"/>
                <w:szCs w:val="24"/>
                <w:vertAlign w:val="superscript"/>
              </w:rPr>
              <w:t>(2)</w:t>
            </w:r>
          </w:p>
        </w:tc>
        <w:tc>
          <w:tcPr>
            <w:tcW w:w="1276" w:type="dxa"/>
            <w:tcBorders>
              <w:top w:val="single" w:sz="4" w:space="0" w:color="auto"/>
              <w:bottom w:val="single" w:sz="4" w:space="0" w:color="auto"/>
            </w:tcBorders>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Tıbbî Atık Miktarı</w:t>
            </w:r>
          </w:p>
        </w:tc>
      </w:tr>
      <w:tr w:rsidR="001F5FA8" w:rsidRPr="00F703CB" w:rsidTr="008D1314">
        <w:trPr>
          <w:jc w:val="center"/>
        </w:trPr>
        <w:tc>
          <w:tcPr>
            <w:tcW w:w="851" w:type="dxa"/>
            <w:tcBorders>
              <w:left w:val="nil"/>
              <w:bottom w:val="single" w:sz="4" w:space="0" w:color="auto"/>
              <w:right w:val="nil"/>
            </w:tcBorders>
          </w:tcPr>
          <w:p w:rsidR="001F5FA8" w:rsidRPr="00F703CB" w:rsidRDefault="001F5FA8" w:rsidP="008D1314">
            <w:pPr>
              <w:spacing w:after="0" w:line="240" w:lineRule="auto"/>
              <w:jc w:val="both"/>
              <w:rPr>
                <w:rFonts w:ascii="Times New Roman" w:hAnsi="Times New Roman"/>
                <w:color w:val="000000"/>
                <w:sz w:val="20"/>
                <w:szCs w:val="24"/>
              </w:rPr>
            </w:pPr>
          </w:p>
        </w:tc>
        <w:tc>
          <w:tcPr>
            <w:tcW w:w="1361" w:type="dxa"/>
            <w:vMerge/>
            <w:tcBorders>
              <w:top w:val="single" w:sz="4" w:space="0" w:color="000000"/>
              <w:left w:val="nil"/>
              <w:bottom w:val="single" w:sz="4" w:space="0" w:color="000000"/>
              <w:right w:val="nil"/>
            </w:tcBorders>
          </w:tcPr>
          <w:p w:rsidR="001F5FA8" w:rsidRPr="00F703CB" w:rsidRDefault="001F5FA8" w:rsidP="008D1314">
            <w:pPr>
              <w:spacing w:after="0" w:line="240" w:lineRule="auto"/>
              <w:jc w:val="both"/>
              <w:rPr>
                <w:rFonts w:ascii="Times New Roman" w:hAnsi="Times New Roman"/>
                <w:color w:val="000000"/>
                <w:sz w:val="20"/>
                <w:szCs w:val="24"/>
              </w:rPr>
            </w:pP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kg/kişi-yıl</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Kişi</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ton/yıl</w:t>
            </w:r>
          </w:p>
        </w:tc>
        <w:tc>
          <w:tcPr>
            <w:tcW w:w="1304" w:type="dxa"/>
            <w:tcBorders>
              <w:top w:val="single" w:sz="4" w:space="0" w:color="auto"/>
              <w:bottom w:val="single" w:sz="4" w:space="0" w:color="auto"/>
            </w:tcBorders>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kg/yatak-gün</w:t>
            </w:r>
          </w:p>
        </w:tc>
        <w:tc>
          <w:tcPr>
            <w:tcW w:w="1276" w:type="dxa"/>
            <w:tcBorders>
              <w:top w:val="single" w:sz="4" w:space="0" w:color="auto"/>
              <w:bottom w:val="single" w:sz="4" w:space="0" w:color="auto"/>
            </w:tcBorders>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Adet</w:t>
            </w:r>
          </w:p>
        </w:tc>
        <w:tc>
          <w:tcPr>
            <w:tcW w:w="1276" w:type="dxa"/>
            <w:tcBorders>
              <w:top w:val="single" w:sz="4" w:space="0" w:color="auto"/>
              <w:bottom w:val="single" w:sz="4" w:space="0" w:color="auto"/>
            </w:tcBorders>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ton/yıl</w:t>
            </w:r>
          </w:p>
        </w:tc>
      </w:tr>
      <w:tr w:rsidR="001F5FA8" w:rsidRPr="00F703CB" w:rsidTr="008D1314">
        <w:trPr>
          <w:jc w:val="center"/>
        </w:trPr>
        <w:tc>
          <w:tcPr>
            <w:tcW w:w="851" w:type="dxa"/>
            <w:vMerge w:val="restart"/>
            <w:tcBorders>
              <w:top w:val="single" w:sz="4" w:space="0" w:color="auto"/>
              <w:left w:val="nil"/>
              <w:bottom w:val="single" w:sz="4" w:space="0" w:color="auto"/>
              <w:right w:val="nil"/>
            </w:tcBorders>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Bolu</w:t>
            </w:r>
          </w:p>
        </w:tc>
        <w:tc>
          <w:tcPr>
            <w:tcW w:w="1361"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Tahmin edilen</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0,80</w:t>
            </w:r>
            <w:r w:rsidRPr="00F703CB">
              <w:rPr>
                <w:rFonts w:ascii="Times New Roman" w:hAnsi="Times New Roman"/>
                <w:color w:val="000000"/>
                <w:sz w:val="20"/>
                <w:szCs w:val="24"/>
                <w:vertAlign w:val="superscript"/>
              </w:rPr>
              <w:t>(3)</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271.208</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217</w:t>
            </w:r>
          </w:p>
        </w:tc>
        <w:tc>
          <w:tcPr>
            <w:tcW w:w="1304"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1,30</w:t>
            </w:r>
            <w:r w:rsidRPr="00F703CB">
              <w:rPr>
                <w:rFonts w:ascii="Times New Roman" w:hAnsi="Times New Roman"/>
                <w:color w:val="000000"/>
                <w:sz w:val="20"/>
                <w:szCs w:val="24"/>
                <w:vertAlign w:val="superscript"/>
              </w:rPr>
              <w:t>(3)</w:t>
            </w:r>
          </w:p>
        </w:tc>
        <w:tc>
          <w:tcPr>
            <w:tcW w:w="1276"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1.317</w:t>
            </w:r>
          </w:p>
        </w:tc>
        <w:tc>
          <w:tcPr>
            <w:tcW w:w="1276"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1.712</w:t>
            </w:r>
          </w:p>
        </w:tc>
      </w:tr>
      <w:tr w:rsidR="001F5FA8" w:rsidRPr="00F703CB" w:rsidTr="008D1314">
        <w:trPr>
          <w:jc w:val="center"/>
        </w:trPr>
        <w:tc>
          <w:tcPr>
            <w:tcW w:w="851" w:type="dxa"/>
            <w:vMerge/>
            <w:tcBorders>
              <w:left w:val="nil"/>
              <w:bottom w:val="single" w:sz="4" w:space="0" w:color="auto"/>
              <w:right w:val="nil"/>
            </w:tcBorders>
            <w:vAlign w:val="center"/>
          </w:tcPr>
          <w:p w:rsidR="001F5FA8" w:rsidRPr="00F703CB" w:rsidRDefault="001F5FA8" w:rsidP="008D1314">
            <w:pPr>
              <w:spacing w:after="0" w:line="240" w:lineRule="auto"/>
              <w:jc w:val="both"/>
              <w:rPr>
                <w:rFonts w:ascii="Times New Roman" w:hAnsi="Times New Roman"/>
                <w:color w:val="000000"/>
                <w:sz w:val="20"/>
                <w:szCs w:val="24"/>
              </w:rPr>
            </w:pPr>
          </w:p>
        </w:tc>
        <w:tc>
          <w:tcPr>
            <w:tcW w:w="1361"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Gerçekleşen</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0,73</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271.208</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197</w:t>
            </w:r>
            <w:r w:rsidRPr="00F703CB">
              <w:rPr>
                <w:rFonts w:ascii="Times New Roman" w:hAnsi="Times New Roman"/>
                <w:color w:val="000000"/>
                <w:sz w:val="20"/>
                <w:szCs w:val="24"/>
                <w:vertAlign w:val="superscript"/>
              </w:rPr>
              <w:t>(4)</w:t>
            </w:r>
          </w:p>
        </w:tc>
        <w:tc>
          <w:tcPr>
            <w:tcW w:w="1304"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0,40</w:t>
            </w:r>
          </w:p>
        </w:tc>
        <w:tc>
          <w:tcPr>
            <w:tcW w:w="1276"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1.317</w:t>
            </w:r>
          </w:p>
        </w:tc>
        <w:tc>
          <w:tcPr>
            <w:tcW w:w="1276"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191</w:t>
            </w:r>
            <w:r w:rsidRPr="00F703CB">
              <w:rPr>
                <w:rFonts w:ascii="Times New Roman" w:hAnsi="Times New Roman"/>
                <w:color w:val="000000"/>
                <w:sz w:val="20"/>
                <w:szCs w:val="24"/>
                <w:vertAlign w:val="superscript"/>
              </w:rPr>
              <w:t>(5)</w:t>
            </w:r>
          </w:p>
        </w:tc>
      </w:tr>
      <w:tr w:rsidR="001F5FA8" w:rsidRPr="00F703CB" w:rsidTr="008D1314">
        <w:trPr>
          <w:jc w:val="center"/>
        </w:trPr>
        <w:tc>
          <w:tcPr>
            <w:tcW w:w="851" w:type="dxa"/>
            <w:vMerge w:val="restart"/>
            <w:tcBorders>
              <w:top w:val="nil"/>
              <w:left w:val="nil"/>
              <w:right w:val="nil"/>
            </w:tcBorders>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Düzce</w:t>
            </w:r>
          </w:p>
        </w:tc>
        <w:tc>
          <w:tcPr>
            <w:tcW w:w="1361"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Tahmin edilen</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0,80</w:t>
            </w:r>
            <w:r w:rsidRPr="00F703CB">
              <w:rPr>
                <w:rFonts w:ascii="Times New Roman" w:hAnsi="Times New Roman"/>
                <w:color w:val="000000"/>
                <w:sz w:val="20"/>
                <w:szCs w:val="24"/>
                <w:vertAlign w:val="superscript"/>
              </w:rPr>
              <w:t>(3)</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338.188</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270</w:t>
            </w:r>
          </w:p>
        </w:tc>
        <w:tc>
          <w:tcPr>
            <w:tcW w:w="1304"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1,30</w:t>
            </w:r>
            <w:r w:rsidRPr="00F703CB">
              <w:rPr>
                <w:rFonts w:ascii="Times New Roman" w:hAnsi="Times New Roman"/>
                <w:color w:val="000000"/>
                <w:sz w:val="20"/>
                <w:szCs w:val="24"/>
                <w:vertAlign w:val="superscript"/>
              </w:rPr>
              <w:t>(3)</w:t>
            </w:r>
          </w:p>
        </w:tc>
        <w:tc>
          <w:tcPr>
            <w:tcW w:w="1276"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818</w:t>
            </w:r>
          </w:p>
        </w:tc>
        <w:tc>
          <w:tcPr>
            <w:tcW w:w="1276"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1.063</w:t>
            </w:r>
          </w:p>
        </w:tc>
      </w:tr>
      <w:tr w:rsidR="001F5FA8" w:rsidRPr="00F703CB" w:rsidTr="008D1314">
        <w:trPr>
          <w:jc w:val="center"/>
        </w:trPr>
        <w:tc>
          <w:tcPr>
            <w:tcW w:w="851" w:type="dxa"/>
            <w:vMerge/>
            <w:tcBorders>
              <w:left w:val="nil"/>
              <w:bottom w:val="single" w:sz="4" w:space="0" w:color="auto"/>
              <w:right w:val="nil"/>
            </w:tcBorders>
            <w:vAlign w:val="center"/>
          </w:tcPr>
          <w:p w:rsidR="001F5FA8" w:rsidRPr="00F703CB" w:rsidRDefault="001F5FA8" w:rsidP="008D1314">
            <w:pPr>
              <w:spacing w:after="0" w:line="240" w:lineRule="auto"/>
              <w:jc w:val="both"/>
              <w:rPr>
                <w:rFonts w:ascii="Times New Roman" w:hAnsi="Times New Roman"/>
                <w:color w:val="000000"/>
                <w:sz w:val="20"/>
                <w:szCs w:val="24"/>
              </w:rPr>
            </w:pPr>
          </w:p>
        </w:tc>
        <w:tc>
          <w:tcPr>
            <w:tcW w:w="1361"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Gerçekleşen</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0,59</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338.188</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200</w:t>
            </w:r>
            <w:r w:rsidRPr="00F703CB">
              <w:rPr>
                <w:rFonts w:ascii="Times New Roman" w:hAnsi="Times New Roman"/>
                <w:color w:val="000000"/>
                <w:sz w:val="20"/>
                <w:szCs w:val="24"/>
                <w:vertAlign w:val="superscript"/>
              </w:rPr>
              <w:t>(4)</w:t>
            </w:r>
          </w:p>
        </w:tc>
        <w:tc>
          <w:tcPr>
            <w:tcW w:w="1304"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0,60</w:t>
            </w:r>
          </w:p>
        </w:tc>
        <w:tc>
          <w:tcPr>
            <w:tcW w:w="1276"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818</w:t>
            </w:r>
          </w:p>
        </w:tc>
        <w:tc>
          <w:tcPr>
            <w:tcW w:w="1276"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179</w:t>
            </w:r>
            <w:r w:rsidRPr="00F703CB">
              <w:rPr>
                <w:rFonts w:ascii="Times New Roman" w:hAnsi="Times New Roman"/>
                <w:color w:val="000000"/>
                <w:sz w:val="20"/>
                <w:szCs w:val="24"/>
                <w:vertAlign w:val="superscript"/>
              </w:rPr>
              <w:t>(5)</w:t>
            </w:r>
          </w:p>
        </w:tc>
      </w:tr>
      <w:tr w:rsidR="001F5FA8" w:rsidRPr="00F703CB" w:rsidTr="008D1314">
        <w:trPr>
          <w:jc w:val="center"/>
        </w:trPr>
        <w:tc>
          <w:tcPr>
            <w:tcW w:w="851" w:type="dxa"/>
            <w:vMerge w:val="restart"/>
            <w:tcBorders>
              <w:top w:val="nil"/>
              <w:left w:val="nil"/>
              <w:right w:val="nil"/>
            </w:tcBorders>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Sakarya</w:t>
            </w:r>
          </w:p>
        </w:tc>
        <w:tc>
          <w:tcPr>
            <w:tcW w:w="1361"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Tahmin edilen</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0,80</w:t>
            </w:r>
            <w:r w:rsidRPr="00F703CB">
              <w:rPr>
                <w:rFonts w:ascii="Times New Roman" w:hAnsi="Times New Roman"/>
                <w:color w:val="000000"/>
                <w:sz w:val="20"/>
                <w:szCs w:val="24"/>
                <w:vertAlign w:val="superscript"/>
              </w:rPr>
              <w:t>(3)</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872.872</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698</w:t>
            </w:r>
          </w:p>
        </w:tc>
        <w:tc>
          <w:tcPr>
            <w:tcW w:w="1304"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1,30</w:t>
            </w:r>
            <w:r w:rsidRPr="00F703CB">
              <w:rPr>
                <w:rFonts w:ascii="Times New Roman" w:hAnsi="Times New Roman"/>
                <w:color w:val="000000"/>
                <w:sz w:val="20"/>
                <w:szCs w:val="24"/>
                <w:vertAlign w:val="superscript"/>
              </w:rPr>
              <w:t>(3)</w:t>
            </w:r>
          </w:p>
        </w:tc>
        <w:tc>
          <w:tcPr>
            <w:tcW w:w="1276"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1.619</w:t>
            </w:r>
          </w:p>
        </w:tc>
        <w:tc>
          <w:tcPr>
            <w:tcW w:w="1276"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2.105</w:t>
            </w:r>
          </w:p>
        </w:tc>
      </w:tr>
      <w:tr w:rsidR="001F5FA8" w:rsidRPr="00F703CB" w:rsidTr="008D1314">
        <w:trPr>
          <w:jc w:val="center"/>
        </w:trPr>
        <w:tc>
          <w:tcPr>
            <w:tcW w:w="851" w:type="dxa"/>
            <w:vMerge/>
            <w:tcBorders>
              <w:left w:val="nil"/>
              <w:bottom w:val="single" w:sz="4" w:space="0" w:color="auto"/>
              <w:right w:val="nil"/>
            </w:tcBorders>
            <w:vAlign w:val="center"/>
          </w:tcPr>
          <w:p w:rsidR="001F5FA8" w:rsidRPr="00F703CB" w:rsidRDefault="001F5FA8" w:rsidP="008D1314">
            <w:pPr>
              <w:spacing w:after="0" w:line="240" w:lineRule="auto"/>
              <w:jc w:val="both"/>
              <w:rPr>
                <w:rFonts w:ascii="Times New Roman" w:hAnsi="Times New Roman"/>
                <w:color w:val="000000"/>
                <w:sz w:val="20"/>
                <w:szCs w:val="24"/>
              </w:rPr>
            </w:pPr>
          </w:p>
        </w:tc>
        <w:tc>
          <w:tcPr>
            <w:tcW w:w="1361"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Gerçekleşen</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0,59</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872.872</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512</w:t>
            </w:r>
            <w:r w:rsidRPr="00F703CB">
              <w:rPr>
                <w:rFonts w:ascii="Times New Roman" w:hAnsi="Times New Roman"/>
                <w:color w:val="000000"/>
                <w:sz w:val="20"/>
                <w:szCs w:val="24"/>
                <w:vertAlign w:val="superscript"/>
              </w:rPr>
              <w:t>(4)</w:t>
            </w:r>
          </w:p>
        </w:tc>
        <w:tc>
          <w:tcPr>
            <w:tcW w:w="1304"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0,83</w:t>
            </w:r>
          </w:p>
        </w:tc>
        <w:tc>
          <w:tcPr>
            <w:tcW w:w="1276"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1.619</w:t>
            </w:r>
          </w:p>
        </w:tc>
        <w:tc>
          <w:tcPr>
            <w:tcW w:w="1276"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492</w:t>
            </w:r>
            <w:r w:rsidRPr="00F703CB">
              <w:rPr>
                <w:rFonts w:ascii="Times New Roman" w:hAnsi="Times New Roman"/>
                <w:color w:val="000000"/>
                <w:sz w:val="20"/>
                <w:szCs w:val="24"/>
                <w:vertAlign w:val="superscript"/>
              </w:rPr>
              <w:t>(5)</w:t>
            </w:r>
          </w:p>
        </w:tc>
      </w:tr>
      <w:tr w:rsidR="001F5FA8" w:rsidRPr="00F703CB" w:rsidTr="008D1314">
        <w:trPr>
          <w:jc w:val="center"/>
        </w:trPr>
        <w:tc>
          <w:tcPr>
            <w:tcW w:w="851" w:type="dxa"/>
            <w:vMerge w:val="restart"/>
            <w:tcBorders>
              <w:top w:val="nil"/>
              <w:left w:val="nil"/>
              <w:right w:val="nil"/>
            </w:tcBorders>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Genel</w:t>
            </w:r>
          </w:p>
        </w:tc>
        <w:tc>
          <w:tcPr>
            <w:tcW w:w="1361"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Tahmin edilen</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0,80</w:t>
            </w:r>
            <w:r w:rsidRPr="00F703CB">
              <w:rPr>
                <w:rFonts w:ascii="Times New Roman" w:hAnsi="Times New Roman"/>
                <w:color w:val="000000"/>
                <w:sz w:val="20"/>
                <w:szCs w:val="24"/>
                <w:vertAlign w:val="superscript"/>
              </w:rPr>
              <w:t>(3)</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1.482.268</w:t>
            </w:r>
          </w:p>
        </w:tc>
        <w:tc>
          <w:tcPr>
            <w:tcW w:w="1276"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1.186</w:t>
            </w:r>
          </w:p>
        </w:tc>
        <w:tc>
          <w:tcPr>
            <w:tcW w:w="1304"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1,30</w:t>
            </w:r>
            <w:r w:rsidRPr="00F703CB">
              <w:rPr>
                <w:rFonts w:ascii="Times New Roman" w:hAnsi="Times New Roman"/>
                <w:color w:val="000000"/>
                <w:sz w:val="20"/>
                <w:szCs w:val="24"/>
                <w:vertAlign w:val="superscript"/>
              </w:rPr>
              <w:t>(3)</w:t>
            </w:r>
          </w:p>
        </w:tc>
        <w:tc>
          <w:tcPr>
            <w:tcW w:w="1276"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3.754</w:t>
            </w:r>
          </w:p>
        </w:tc>
        <w:tc>
          <w:tcPr>
            <w:tcW w:w="1276" w:type="dxa"/>
            <w:tcBorders>
              <w:top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4.880</w:t>
            </w:r>
          </w:p>
        </w:tc>
      </w:tr>
      <w:tr w:rsidR="001F5FA8" w:rsidRPr="00F703CB" w:rsidTr="008D1314">
        <w:trPr>
          <w:jc w:val="center"/>
        </w:trPr>
        <w:tc>
          <w:tcPr>
            <w:tcW w:w="851" w:type="dxa"/>
            <w:vMerge/>
            <w:tcBorders>
              <w:left w:val="nil"/>
              <w:bottom w:val="single" w:sz="4" w:space="0" w:color="auto"/>
              <w:right w:val="nil"/>
            </w:tcBorders>
          </w:tcPr>
          <w:p w:rsidR="001F5FA8" w:rsidRPr="00F703CB" w:rsidRDefault="001F5FA8" w:rsidP="008D1314">
            <w:pPr>
              <w:spacing w:after="0" w:line="240" w:lineRule="auto"/>
              <w:jc w:val="both"/>
              <w:rPr>
                <w:rFonts w:ascii="Times New Roman" w:hAnsi="Times New Roman"/>
                <w:color w:val="000000"/>
                <w:sz w:val="20"/>
                <w:szCs w:val="24"/>
              </w:rPr>
            </w:pPr>
          </w:p>
        </w:tc>
        <w:tc>
          <w:tcPr>
            <w:tcW w:w="1361"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Gerçekleşen</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0,61</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1.482.268</w:t>
            </w:r>
          </w:p>
        </w:tc>
        <w:tc>
          <w:tcPr>
            <w:tcW w:w="1276" w:type="dxa"/>
            <w:tcBorders>
              <w:top w:val="nil"/>
              <w:left w:val="nil"/>
              <w:bottom w:val="single" w:sz="4" w:space="0" w:color="auto"/>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909</w:t>
            </w:r>
            <w:r w:rsidRPr="00F703CB">
              <w:rPr>
                <w:rFonts w:ascii="Times New Roman" w:hAnsi="Times New Roman"/>
                <w:color w:val="000000"/>
                <w:sz w:val="20"/>
                <w:szCs w:val="24"/>
                <w:vertAlign w:val="superscript"/>
              </w:rPr>
              <w:t>(4)</w:t>
            </w:r>
          </w:p>
        </w:tc>
        <w:tc>
          <w:tcPr>
            <w:tcW w:w="1304"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0,63</w:t>
            </w:r>
          </w:p>
        </w:tc>
        <w:tc>
          <w:tcPr>
            <w:tcW w:w="1276"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3.754</w:t>
            </w:r>
          </w:p>
        </w:tc>
        <w:tc>
          <w:tcPr>
            <w:tcW w:w="1276" w:type="dxa"/>
            <w:tcBorders>
              <w:bottom w:val="single" w:sz="4" w:space="0" w:color="auto"/>
            </w:tcBorders>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862</w:t>
            </w:r>
            <w:r w:rsidRPr="00F703CB">
              <w:rPr>
                <w:rFonts w:ascii="Times New Roman" w:hAnsi="Times New Roman"/>
                <w:color w:val="000000"/>
                <w:sz w:val="20"/>
                <w:szCs w:val="24"/>
                <w:vertAlign w:val="superscript"/>
              </w:rPr>
              <w:t>(5)</w:t>
            </w:r>
          </w:p>
        </w:tc>
      </w:tr>
    </w:tbl>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Not: Tablodaki tüm değerler 2010 yılına ait olup 2010 yılı için geçerlidir.</w:t>
      </w:r>
    </w:p>
    <w:p w:rsidR="0026766B" w:rsidRDefault="0026766B" w:rsidP="001F5FA8">
      <w:pPr>
        <w:pStyle w:val="BodyText"/>
        <w:spacing w:before="120" w:line="240" w:lineRule="auto"/>
        <w:jc w:val="both"/>
        <w:rPr>
          <w:rFonts w:ascii="Times New Roman" w:hAnsi="Times New Roman"/>
          <w:sz w:val="24"/>
          <w:szCs w:val="24"/>
          <w:vertAlign w:val="superscript"/>
        </w:rPr>
        <w:sectPr w:rsidR="0026766B" w:rsidSect="00FB192F">
          <w:type w:val="continuous"/>
          <w:pgSz w:w="11906" w:h="16838"/>
          <w:pgMar w:top="1417" w:right="849" w:bottom="1417" w:left="1134" w:header="708" w:footer="708" w:gutter="0"/>
          <w:cols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vertAlign w:val="superscript"/>
        </w:rPr>
        <w:lastRenderedPageBreak/>
        <w:t>(1)</w:t>
      </w:r>
      <w:r w:rsidRPr="00D6441B">
        <w:rPr>
          <w:rFonts w:ascii="Times New Roman" w:hAnsi="Times New Roman"/>
          <w:sz w:val="24"/>
          <w:szCs w:val="24"/>
        </w:rPr>
        <w:t xml:space="preserve"> Hizmet verilen tüm nüfus (TÜİK, 2011).</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vertAlign w:val="superscript"/>
        </w:rPr>
        <w:t>(2)</w:t>
      </w:r>
      <w:r w:rsidRPr="00D6441B">
        <w:rPr>
          <w:rFonts w:ascii="Times New Roman" w:hAnsi="Times New Roman"/>
          <w:sz w:val="24"/>
          <w:szCs w:val="24"/>
        </w:rPr>
        <w:t xml:space="preserve"> İldeki yataklı sağlık kurumlarının 2010 yılı toplam yatak sayıları (SB, 2011).</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vertAlign w:val="superscript"/>
        </w:rPr>
        <w:t>(3)</w:t>
      </w:r>
      <w:r w:rsidRPr="00D6441B">
        <w:rPr>
          <w:rFonts w:ascii="Times New Roman" w:hAnsi="Times New Roman"/>
          <w:sz w:val="24"/>
          <w:szCs w:val="24"/>
        </w:rPr>
        <w:t xml:space="preserve"> Dünya Sağlık Teşkilatının vermiş olduğu değer aralıklarından seçilmiştir (WHO, 1999).</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vertAlign w:val="superscript"/>
        </w:rPr>
        <w:lastRenderedPageBreak/>
        <w:t>(4)</w:t>
      </w:r>
      <w:r w:rsidRPr="00D6441B">
        <w:rPr>
          <w:rFonts w:ascii="Times New Roman" w:hAnsi="Times New Roman"/>
          <w:sz w:val="24"/>
          <w:szCs w:val="24"/>
        </w:rPr>
        <w:t xml:space="preserve"> İlde 2010 yılında toplanan toplam tıbbî atık miktarları (ERA, 2011).</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vertAlign w:val="superscript"/>
        </w:rPr>
        <w:t>(5)</w:t>
      </w:r>
      <w:r w:rsidRPr="00D6441B">
        <w:rPr>
          <w:rFonts w:ascii="Times New Roman" w:hAnsi="Times New Roman"/>
          <w:sz w:val="24"/>
          <w:szCs w:val="24"/>
        </w:rPr>
        <w:t xml:space="preserve"> İlde 2010 yılında sadece yatalı hastahanelerden toplanan toplam tıbbî atık miktarları (ERA, 2011).</w:t>
      </w:r>
    </w:p>
    <w:p w:rsidR="0026766B" w:rsidRDefault="0026766B" w:rsidP="001F5FA8">
      <w:pPr>
        <w:pStyle w:val="izelgeYazs"/>
        <w:spacing w:before="120" w:after="120"/>
        <w:rPr>
          <w:b/>
          <w:szCs w:val="24"/>
        </w:rPr>
        <w:sectPr w:rsidR="0026766B" w:rsidSect="0026766B">
          <w:type w:val="continuous"/>
          <w:pgSz w:w="11906" w:h="16838"/>
          <w:pgMar w:top="1417" w:right="849" w:bottom="1417" w:left="1134" w:header="708" w:footer="708" w:gutter="0"/>
          <w:cols w:num="2" w:space="708"/>
          <w:docGrid w:linePitch="360"/>
        </w:sectPr>
      </w:pPr>
    </w:p>
    <w:p w:rsidR="001F5FA8" w:rsidRPr="00D6441B" w:rsidRDefault="001F5FA8" w:rsidP="001F5FA8">
      <w:pPr>
        <w:pStyle w:val="izelgeYazs"/>
        <w:spacing w:before="120" w:after="120"/>
        <w:rPr>
          <w:b/>
          <w:szCs w:val="24"/>
        </w:rPr>
      </w:pPr>
    </w:p>
    <w:p w:rsidR="001F5FA8" w:rsidRPr="00D6441B" w:rsidRDefault="001F5FA8" w:rsidP="001F5FA8">
      <w:pPr>
        <w:pStyle w:val="izelgeYazs"/>
        <w:spacing w:before="120" w:after="120"/>
        <w:rPr>
          <w:b/>
          <w:szCs w:val="24"/>
        </w:rPr>
      </w:pPr>
    </w:p>
    <w:p w:rsidR="001F5FA8" w:rsidRPr="00D6441B" w:rsidRDefault="001F5FA8" w:rsidP="001F5FA8">
      <w:pPr>
        <w:pStyle w:val="izelgeYazs"/>
        <w:spacing w:before="120" w:after="120"/>
        <w:rPr>
          <w:b/>
          <w:szCs w:val="24"/>
        </w:rPr>
      </w:pPr>
    </w:p>
    <w:p w:rsidR="001F5FA8" w:rsidRPr="00D6441B" w:rsidRDefault="001F5FA8" w:rsidP="001F5FA8">
      <w:pPr>
        <w:pStyle w:val="izelgeYazs"/>
        <w:spacing w:before="120" w:after="120"/>
        <w:rPr>
          <w:b/>
          <w:szCs w:val="24"/>
        </w:rPr>
      </w:pPr>
    </w:p>
    <w:p w:rsidR="001F5FA8" w:rsidRDefault="001F5FA8" w:rsidP="001F5FA8">
      <w:pPr>
        <w:pStyle w:val="izelgeYazs"/>
        <w:spacing w:before="120" w:after="120"/>
        <w:rPr>
          <w:b/>
          <w:szCs w:val="24"/>
        </w:rPr>
      </w:pPr>
    </w:p>
    <w:p w:rsidR="00FB192F" w:rsidRDefault="00FB192F" w:rsidP="001F5FA8">
      <w:pPr>
        <w:pStyle w:val="izelgeYazs"/>
        <w:spacing w:before="120" w:after="120"/>
        <w:rPr>
          <w:b/>
          <w:szCs w:val="24"/>
        </w:rPr>
      </w:pPr>
    </w:p>
    <w:p w:rsidR="0026766B" w:rsidRDefault="0026766B" w:rsidP="001F5FA8">
      <w:pPr>
        <w:pStyle w:val="izelgeYazs"/>
        <w:spacing w:before="120" w:after="120"/>
        <w:rPr>
          <w:b/>
          <w:szCs w:val="24"/>
        </w:rPr>
      </w:pPr>
    </w:p>
    <w:p w:rsidR="0026766B" w:rsidRDefault="0026766B" w:rsidP="001F5FA8">
      <w:pPr>
        <w:pStyle w:val="izelgeYazs"/>
        <w:spacing w:before="120" w:after="120"/>
        <w:rPr>
          <w:b/>
          <w:szCs w:val="24"/>
        </w:rPr>
      </w:pPr>
    </w:p>
    <w:p w:rsidR="0026766B" w:rsidRDefault="0026766B" w:rsidP="001F5FA8">
      <w:pPr>
        <w:pStyle w:val="izelgeYazs"/>
        <w:spacing w:before="120" w:after="120"/>
        <w:rPr>
          <w:b/>
          <w:szCs w:val="24"/>
        </w:rPr>
      </w:pPr>
    </w:p>
    <w:p w:rsidR="0026766B" w:rsidRPr="00D6441B" w:rsidRDefault="0026766B" w:rsidP="001F5FA8">
      <w:pPr>
        <w:pStyle w:val="izelgeYazs"/>
        <w:spacing w:before="120" w:after="120"/>
        <w:rPr>
          <w:b/>
          <w:szCs w:val="24"/>
        </w:rPr>
      </w:pPr>
    </w:p>
    <w:p w:rsidR="001F5FA8" w:rsidRPr="00D6441B" w:rsidRDefault="001F5FA8" w:rsidP="001F5FA8">
      <w:pPr>
        <w:pStyle w:val="izelgeYazs"/>
        <w:spacing w:before="120" w:after="120"/>
        <w:rPr>
          <w:szCs w:val="24"/>
        </w:rPr>
      </w:pPr>
      <w:r w:rsidRPr="00D6441B">
        <w:rPr>
          <w:b/>
          <w:szCs w:val="24"/>
        </w:rPr>
        <w:lastRenderedPageBreak/>
        <w:t>Tablo 3</w:t>
      </w:r>
      <w:r w:rsidRPr="00D6441B">
        <w:rPr>
          <w:szCs w:val="24"/>
        </w:rPr>
        <w:t>. Sterilize edilen tıbbî atıkların zamansal değişimi ve özellikleri (ERA, 2011)</w:t>
      </w:r>
    </w:p>
    <w:tbl>
      <w:tblPr>
        <w:tblW w:w="0" w:type="auto"/>
        <w:jc w:val="center"/>
        <w:tblLayout w:type="fixed"/>
        <w:tblCellMar>
          <w:left w:w="70" w:type="dxa"/>
          <w:right w:w="70" w:type="dxa"/>
        </w:tblCellMar>
        <w:tblLook w:val="04A0" w:firstRow="1" w:lastRow="0" w:firstColumn="1" w:lastColumn="0" w:noHBand="0" w:noVBand="1"/>
      </w:tblPr>
      <w:tblGrid>
        <w:gridCol w:w="1134"/>
        <w:gridCol w:w="879"/>
        <w:gridCol w:w="1134"/>
        <w:gridCol w:w="709"/>
        <w:gridCol w:w="851"/>
        <w:gridCol w:w="1021"/>
        <w:gridCol w:w="851"/>
        <w:gridCol w:w="907"/>
        <w:gridCol w:w="964"/>
        <w:gridCol w:w="1418"/>
      </w:tblGrid>
      <w:tr w:rsidR="001F5FA8" w:rsidRPr="00F703CB" w:rsidTr="008D1314">
        <w:trPr>
          <w:cantSplit/>
          <w:jc w:val="center"/>
        </w:trPr>
        <w:tc>
          <w:tcPr>
            <w:tcW w:w="1134" w:type="dxa"/>
            <w:vMerge w:val="restart"/>
            <w:tcBorders>
              <w:top w:val="single" w:sz="4" w:space="0" w:color="auto"/>
              <w:left w:val="nil"/>
              <w:bottom w:val="single" w:sz="4" w:space="0" w:color="000000"/>
              <w:right w:val="nil"/>
            </w:tcBorders>
            <w:shd w:val="clear" w:color="auto" w:fill="auto"/>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Aylar</w:t>
            </w:r>
          </w:p>
        </w:tc>
        <w:tc>
          <w:tcPr>
            <w:tcW w:w="879" w:type="dxa"/>
            <w:tcBorders>
              <w:top w:val="single" w:sz="4" w:space="0" w:color="auto"/>
              <w:left w:val="nil"/>
              <w:bottom w:val="single" w:sz="4" w:space="0" w:color="auto"/>
              <w:right w:val="nil"/>
            </w:tcBorders>
            <w:shd w:val="clear" w:color="auto" w:fill="auto"/>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Tıbbî Atık Miktarı</w:t>
            </w:r>
          </w:p>
        </w:tc>
        <w:tc>
          <w:tcPr>
            <w:tcW w:w="1134" w:type="dxa"/>
            <w:tcBorders>
              <w:top w:val="single" w:sz="4" w:space="0" w:color="auto"/>
              <w:left w:val="nil"/>
              <w:bottom w:val="single" w:sz="4" w:space="0" w:color="auto"/>
              <w:right w:val="nil"/>
            </w:tcBorders>
            <w:shd w:val="clear" w:color="auto" w:fill="auto"/>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Aylık Otoklav Sefer Sayısı</w:t>
            </w:r>
          </w:p>
        </w:tc>
        <w:tc>
          <w:tcPr>
            <w:tcW w:w="709" w:type="dxa"/>
            <w:tcBorders>
              <w:top w:val="single" w:sz="4" w:space="0" w:color="auto"/>
              <w:left w:val="nil"/>
              <w:bottom w:val="single" w:sz="4" w:space="0" w:color="auto"/>
              <w:right w:val="nil"/>
            </w:tcBorders>
            <w:shd w:val="clear" w:color="auto" w:fill="auto"/>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Otoklav Hacmi</w:t>
            </w:r>
          </w:p>
        </w:tc>
        <w:tc>
          <w:tcPr>
            <w:tcW w:w="851" w:type="dxa"/>
            <w:tcBorders>
              <w:top w:val="single" w:sz="4" w:space="0" w:color="auto"/>
              <w:left w:val="nil"/>
              <w:bottom w:val="single" w:sz="4" w:space="0" w:color="auto"/>
              <w:right w:val="nil"/>
            </w:tcBorders>
            <w:shd w:val="clear" w:color="auto" w:fill="auto"/>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Atığın İlk Hacmi</w:t>
            </w:r>
          </w:p>
        </w:tc>
        <w:tc>
          <w:tcPr>
            <w:tcW w:w="1021" w:type="dxa"/>
            <w:tcBorders>
              <w:top w:val="single" w:sz="4" w:space="0" w:color="auto"/>
              <w:left w:val="nil"/>
              <w:bottom w:val="single" w:sz="4" w:space="0" w:color="auto"/>
              <w:right w:val="nil"/>
            </w:tcBorders>
            <w:shd w:val="clear" w:color="auto" w:fill="auto"/>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Atığın İlk Yoğunluğu</w:t>
            </w:r>
          </w:p>
        </w:tc>
        <w:tc>
          <w:tcPr>
            <w:tcW w:w="851" w:type="dxa"/>
            <w:tcBorders>
              <w:top w:val="single" w:sz="4" w:space="0" w:color="auto"/>
              <w:left w:val="nil"/>
              <w:bottom w:val="single" w:sz="4" w:space="0" w:color="auto"/>
              <w:right w:val="nil"/>
            </w:tcBorders>
            <w:shd w:val="clear" w:color="auto" w:fill="auto"/>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Hacim Azalması</w:t>
            </w:r>
          </w:p>
        </w:tc>
        <w:tc>
          <w:tcPr>
            <w:tcW w:w="907" w:type="dxa"/>
            <w:tcBorders>
              <w:top w:val="single" w:sz="4" w:space="0" w:color="auto"/>
              <w:left w:val="nil"/>
              <w:bottom w:val="single" w:sz="4" w:space="0" w:color="auto"/>
              <w:right w:val="nil"/>
            </w:tcBorders>
            <w:shd w:val="clear" w:color="auto" w:fill="auto"/>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Atığın Son Hacmi</w:t>
            </w:r>
          </w:p>
        </w:tc>
        <w:tc>
          <w:tcPr>
            <w:tcW w:w="964" w:type="dxa"/>
            <w:tcBorders>
              <w:top w:val="single" w:sz="4" w:space="0" w:color="auto"/>
              <w:left w:val="nil"/>
              <w:bottom w:val="single" w:sz="4" w:space="0" w:color="auto"/>
              <w:right w:val="nil"/>
            </w:tcBorders>
            <w:shd w:val="clear" w:color="auto" w:fill="auto"/>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Atığın Son Yoğunluğu</w:t>
            </w:r>
          </w:p>
        </w:tc>
        <w:tc>
          <w:tcPr>
            <w:tcW w:w="1418" w:type="dxa"/>
            <w:tcBorders>
              <w:top w:val="single" w:sz="4" w:space="0" w:color="auto"/>
              <w:left w:val="nil"/>
              <w:bottom w:val="single" w:sz="4" w:space="0" w:color="auto"/>
              <w:right w:val="nil"/>
            </w:tcBorders>
            <w:shd w:val="clear" w:color="auto" w:fill="auto"/>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Ortalama Otoklav Yüklemesi (45 dk)</w:t>
            </w:r>
          </w:p>
        </w:tc>
      </w:tr>
      <w:tr w:rsidR="001F5FA8" w:rsidRPr="00F703CB" w:rsidTr="008D1314">
        <w:trPr>
          <w:cantSplit/>
          <w:jc w:val="center"/>
        </w:trPr>
        <w:tc>
          <w:tcPr>
            <w:tcW w:w="1134" w:type="dxa"/>
            <w:vMerge/>
            <w:tcBorders>
              <w:top w:val="single" w:sz="4" w:space="0" w:color="auto"/>
              <w:left w:val="nil"/>
              <w:bottom w:val="single" w:sz="4" w:space="0" w:color="000000"/>
              <w:right w:val="nil"/>
            </w:tcBorders>
            <w:vAlign w:val="center"/>
          </w:tcPr>
          <w:p w:rsidR="001F5FA8" w:rsidRPr="00F703CB" w:rsidRDefault="001F5FA8" w:rsidP="008D1314">
            <w:pPr>
              <w:spacing w:after="0" w:line="240" w:lineRule="auto"/>
              <w:jc w:val="both"/>
              <w:rPr>
                <w:rFonts w:ascii="Times New Roman" w:hAnsi="Times New Roman"/>
                <w:b/>
                <w:bCs/>
                <w:color w:val="000000"/>
                <w:sz w:val="20"/>
                <w:szCs w:val="24"/>
              </w:rPr>
            </w:pPr>
          </w:p>
        </w:tc>
        <w:tc>
          <w:tcPr>
            <w:tcW w:w="879" w:type="dxa"/>
            <w:tcBorders>
              <w:top w:val="nil"/>
              <w:left w:val="nil"/>
              <w:bottom w:val="single" w:sz="4" w:space="0" w:color="auto"/>
              <w:right w:val="nil"/>
            </w:tcBorders>
            <w:shd w:val="clear" w:color="auto" w:fill="auto"/>
            <w:vAlign w:val="bottom"/>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kg</w:t>
            </w:r>
          </w:p>
        </w:tc>
        <w:tc>
          <w:tcPr>
            <w:tcW w:w="1134" w:type="dxa"/>
            <w:tcBorders>
              <w:top w:val="nil"/>
              <w:left w:val="nil"/>
              <w:bottom w:val="single" w:sz="4" w:space="0" w:color="auto"/>
              <w:right w:val="nil"/>
            </w:tcBorders>
            <w:shd w:val="clear" w:color="auto" w:fill="auto"/>
            <w:vAlign w:val="bottom"/>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Sefer</w:t>
            </w:r>
          </w:p>
        </w:tc>
        <w:tc>
          <w:tcPr>
            <w:tcW w:w="709" w:type="dxa"/>
            <w:tcBorders>
              <w:top w:val="nil"/>
              <w:left w:val="nil"/>
              <w:bottom w:val="single" w:sz="4" w:space="0" w:color="auto"/>
              <w:right w:val="nil"/>
            </w:tcBorders>
            <w:shd w:val="clear" w:color="auto" w:fill="auto"/>
            <w:vAlign w:val="bottom"/>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m</w:t>
            </w:r>
            <w:r w:rsidRPr="00F703CB">
              <w:rPr>
                <w:rFonts w:ascii="Times New Roman" w:hAnsi="Times New Roman"/>
                <w:b/>
                <w:bCs/>
                <w:color w:val="000000"/>
                <w:sz w:val="20"/>
                <w:szCs w:val="24"/>
                <w:vertAlign w:val="superscript"/>
              </w:rPr>
              <w:t>3</w:t>
            </w:r>
          </w:p>
        </w:tc>
        <w:tc>
          <w:tcPr>
            <w:tcW w:w="851" w:type="dxa"/>
            <w:tcBorders>
              <w:top w:val="nil"/>
              <w:left w:val="nil"/>
              <w:bottom w:val="single" w:sz="4" w:space="0" w:color="auto"/>
              <w:right w:val="nil"/>
            </w:tcBorders>
            <w:shd w:val="clear" w:color="auto" w:fill="auto"/>
            <w:vAlign w:val="bottom"/>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m</w:t>
            </w:r>
            <w:r w:rsidRPr="00F703CB">
              <w:rPr>
                <w:rFonts w:ascii="Times New Roman" w:hAnsi="Times New Roman"/>
                <w:b/>
                <w:bCs/>
                <w:color w:val="000000"/>
                <w:sz w:val="20"/>
                <w:szCs w:val="24"/>
                <w:vertAlign w:val="superscript"/>
              </w:rPr>
              <w:t>3</w:t>
            </w:r>
          </w:p>
        </w:tc>
        <w:tc>
          <w:tcPr>
            <w:tcW w:w="1021" w:type="dxa"/>
            <w:tcBorders>
              <w:top w:val="nil"/>
              <w:left w:val="nil"/>
              <w:bottom w:val="single" w:sz="4" w:space="0" w:color="auto"/>
              <w:right w:val="nil"/>
            </w:tcBorders>
            <w:shd w:val="clear" w:color="auto" w:fill="auto"/>
            <w:vAlign w:val="bottom"/>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kg/m</w:t>
            </w:r>
            <w:r w:rsidRPr="00F703CB">
              <w:rPr>
                <w:rFonts w:ascii="Times New Roman" w:hAnsi="Times New Roman"/>
                <w:b/>
                <w:bCs/>
                <w:color w:val="000000"/>
                <w:sz w:val="20"/>
                <w:szCs w:val="24"/>
                <w:vertAlign w:val="superscript"/>
              </w:rPr>
              <w:t>3</w:t>
            </w:r>
          </w:p>
        </w:tc>
        <w:tc>
          <w:tcPr>
            <w:tcW w:w="851" w:type="dxa"/>
            <w:tcBorders>
              <w:top w:val="nil"/>
              <w:left w:val="nil"/>
              <w:bottom w:val="single" w:sz="4" w:space="0" w:color="auto"/>
              <w:right w:val="nil"/>
            </w:tcBorders>
            <w:shd w:val="clear" w:color="auto" w:fill="auto"/>
            <w:vAlign w:val="bottom"/>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m</w:t>
            </w:r>
            <w:r w:rsidRPr="00F703CB">
              <w:rPr>
                <w:rFonts w:ascii="Times New Roman" w:hAnsi="Times New Roman"/>
                <w:b/>
                <w:bCs/>
                <w:color w:val="000000"/>
                <w:sz w:val="20"/>
                <w:szCs w:val="24"/>
                <w:vertAlign w:val="superscript"/>
              </w:rPr>
              <w:t>3</w:t>
            </w:r>
          </w:p>
        </w:tc>
        <w:tc>
          <w:tcPr>
            <w:tcW w:w="907" w:type="dxa"/>
            <w:tcBorders>
              <w:top w:val="nil"/>
              <w:left w:val="nil"/>
              <w:bottom w:val="single" w:sz="4" w:space="0" w:color="auto"/>
              <w:right w:val="nil"/>
            </w:tcBorders>
            <w:shd w:val="clear" w:color="auto" w:fill="auto"/>
            <w:vAlign w:val="bottom"/>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m</w:t>
            </w:r>
            <w:r w:rsidRPr="00F703CB">
              <w:rPr>
                <w:rFonts w:ascii="Times New Roman" w:hAnsi="Times New Roman"/>
                <w:b/>
                <w:bCs/>
                <w:color w:val="000000"/>
                <w:sz w:val="20"/>
                <w:szCs w:val="24"/>
                <w:vertAlign w:val="superscript"/>
              </w:rPr>
              <w:t>3</w:t>
            </w:r>
          </w:p>
        </w:tc>
        <w:tc>
          <w:tcPr>
            <w:tcW w:w="964" w:type="dxa"/>
            <w:tcBorders>
              <w:top w:val="nil"/>
              <w:left w:val="nil"/>
              <w:bottom w:val="single" w:sz="4" w:space="0" w:color="auto"/>
              <w:right w:val="nil"/>
            </w:tcBorders>
            <w:shd w:val="clear" w:color="auto" w:fill="auto"/>
            <w:vAlign w:val="bottom"/>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kg/m</w:t>
            </w:r>
            <w:r w:rsidRPr="00F703CB">
              <w:rPr>
                <w:rFonts w:ascii="Times New Roman" w:hAnsi="Times New Roman"/>
                <w:b/>
                <w:bCs/>
                <w:color w:val="000000"/>
                <w:sz w:val="20"/>
                <w:szCs w:val="24"/>
                <w:vertAlign w:val="superscript"/>
              </w:rPr>
              <w:t>3</w:t>
            </w:r>
          </w:p>
        </w:tc>
        <w:tc>
          <w:tcPr>
            <w:tcW w:w="1418" w:type="dxa"/>
            <w:tcBorders>
              <w:top w:val="nil"/>
              <w:left w:val="nil"/>
              <w:bottom w:val="single" w:sz="4" w:space="0" w:color="auto"/>
              <w:right w:val="nil"/>
            </w:tcBorders>
            <w:shd w:val="clear" w:color="auto" w:fill="auto"/>
            <w:vAlign w:val="bottom"/>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kg</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Ocak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56.024</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61</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395,28</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141,73</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276,70</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118.58</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472.44</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918</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Şubat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52.246</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53</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343,44</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152,13</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240,41</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103.03</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507.09</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986</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Mart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61.877</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62</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401,76</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154,01</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281,23</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120.53</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513.38</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998</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Nisan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61.006</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60</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388,80</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156,91</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272,16</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116.64</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523.03</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1.017</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Mayıs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69.384</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70</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453,60</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152,96</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317,52</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136.08</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509.88</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991</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Haziran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78.436</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82</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531,36</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147,61</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371,95</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159.41</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492.05</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957</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Temmuz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79.870</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76</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492,48</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162,18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344,73</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147.74</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540.60</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1.051</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Ağustos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74.593</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69</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447,12</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166,83</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312,98</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134.14</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556.10</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1.081</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Eylül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72.152</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72</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466,56</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154,65</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326,59</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139.97</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515.49</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1.002</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Ekim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85.558</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87</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563,76</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151,76</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394,63</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169.13</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505.88</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983</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Kasım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71.720</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77</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498,96</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143,74</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349,27</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149.69</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479.13</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931</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Aralık 2010</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88.610</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90</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583,20</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151,94</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408,24</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174.96</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506.46</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985</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Ocak 2011</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79.150</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85</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550,80</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143,70</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385,56</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165.24</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479.00</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931</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Şubat 2011</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80.000</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86</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557,28</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143,55</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390,10</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167.18</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478.51</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930</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Mart 2011</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90.775</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99</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641,52</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141,50</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449,06</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192.46</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471.67</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917</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Nisan 2011</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86.800</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92</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596,16</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145,60</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417,31</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178.85</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485.33</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943</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Mayıs 2011</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92.000</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93</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602,64</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152,66</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421,85</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180.79</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508.87</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989</w:t>
            </w:r>
          </w:p>
        </w:tc>
      </w:tr>
      <w:tr w:rsidR="001F5FA8" w:rsidRPr="00F703CB" w:rsidTr="008D1314">
        <w:trPr>
          <w:cantSplit/>
          <w:jc w:val="center"/>
        </w:trPr>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Haziran 2011</w:t>
            </w:r>
          </w:p>
        </w:tc>
        <w:tc>
          <w:tcPr>
            <w:tcW w:w="87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85.437</w:t>
            </w:r>
          </w:p>
        </w:tc>
        <w:tc>
          <w:tcPr>
            <w:tcW w:w="113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82</w:t>
            </w:r>
          </w:p>
        </w:tc>
        <w:tc>
          <w:tcPr>
            <w:tcW w:w="709"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6,48</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531,36</w:t>
            </w:r>
          </w:p>
        </w:tc>
        <w:tc>
          <w:tcPr>
            <w:tcW w:w="102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160,79</w:t>
            </w:r>
          </w:p>
        </w:tc>
        <w:tc>
          <w:tcPr>
            <w:tcW w:w="851"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371,95</w:t>
            </w:r>
          </w:p>
        </w:tc>
        <w:tc>
          <w:tcPr>
            <w:tcW w:w="907"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159.41</w:t>
            </w:r>
          </w:p>
        </w:tc>
        <w:tc>
          <w:tcPr>
            <w:tcW w:w="964" w:type="dxa"/>
            <w:tcBorders>
              <w:top w:val="nil"/>
              <w:left w:val="nil"/>
              <w:bottom w:val="nil"/>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535.96</w:t>
            </w:r>
          </w:p>
        </w:tc>
        <w:tc>
          <w:tcPr>
            <w:tcW w:w="1418" w:type="dxa"/>
            <w:tcBorders>
              <w:top w:val="nil"/>
              <w:left w:val="nil"/>
              <w:bottom w:val="nil"/>
              <w:right w:val="nil"/>
            </w:tcBorders>
            <w:shd w:val="clear" w:color="auto" w:fill="auto"/>
            <w:noWrap/>
          </w:tcPr>
          <w:p w:rsidR="001F5FA8" w:rsidRPr="00F703CB" w:rsidRDefault="001F5FA8" w:rsidP="008D1314">
            <w:pPr>
              <w:spacing w:after="0" w:line="240" w:lineRule="auto"/>
              <w:jc w:val="both"/>
              <w:rPr>
                <w:rFonts w:ascii="Times New Roman" w:hAnsi="Times New Roman"/>
                <w:color w:val="000000"/>
                <w:sz w:val="20"/>
                <w:szCs w:val="24"/>
              </w:rPr>
            </w:pPr>
            <w:r w:rsidRPr="00F703CB">
              <w:rPr>
                <w:rFonts w:ascii="Times New Roman" w:hAnsi="Times New Roman"/>
                <w:color w:val="000000"/>
                <w:sz w:val="20"/>
                <w:szCs w:val="24"/>
              </w:rPr>
              <w:t>1.042</w:t>
            </w:r>
          </w:p>
        </w:tc>
      </w:tr>
      <w:tr w:rsidR="001F5FA8" w:rsidRPr="00F703CB" w:rsidTr="008D1314">
        <w:trPr>
          <w:cantSplit/>
          <w:jc w:val="center"/>
        </w:trPr>
        <w:tc>
          <w:tcPr>
            <w:tcW w:w="1134" w:type="dxa"/>
            <w:tcBorders>
              <w:top w:val="single" w:sz="4" w:space="0" w:color="auto"/>
              <w:left w:val="nil"/>
              <w:bottom w:val="single" w:sz="4" w:space="0" w:color="auto"/>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Toplam</w:t>
            </w:r>
          </w:p>
        </w:tc>
        <w:tc>
          <w:tcPr>
            <w:tcW w:w="879" w:type="dxa"/>
            <w:tcBorders>
              <w:top w:val="single" w:sz="4" w:space="0" w:color="auto"/>
              <w:left w:val="nil"/>
              <w:bottom w:val="single" w:sz="4" w:space="0" w:color="auto"/>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1.365.638</w:t>
            </w:r>
          </w:p>
        </w:tc>
        <w:tc>
          <w:tcPr>
            <w:tcW w:w="1134" w:type="dxa"/>
            <w:tcBorders>
              <w:top w:val="single" w:sz="4" w:space="0" w:color="auto"/>
              <w:left w:val="nil"/>
              <w:bottom w:val="single" w:sz="4" w:space="0" w:color="auto"/>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1.396</w:t>
            </w:r>
          </w:p>
        </w:tc>
        <w:tc>
          <w:tcPr>
            <w:tcW w:w="709" w:type="dxa"/>
            <w:tcBorders>
              <w:top w:val="single" w:sz="4" w:space="0" w:color="auto"/>
              <w:left w:val="nil"/>
              <w:bottom w:val="single" w:sz="4" w:space="0" w:color="auto"/>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6,48</w:t>
            </w:r>
          </w:p>
        </w:tc>
        <w:tc>
          <w:tcPr>
            <w:tcW w:w="851" w:type="dxa"/>
            <w:tcBorders>
              <w:top w:val="single" w:sz="4" w:space="0" w:color="auto"/>
              <w:left w:val="nil"/>
              <w:bottom w:val="single" w:sz="4" w:space="0" w:color="auto"/>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9.046,08</w:t>
            </w:r>
          </w:p>
        </w:tc>
        <w:tc>
          <w:tcPr>
            <w:tcW w:w="1021" w:type="dxa"/>
            <w:tcBorders>
              <w:top w:val="single" w:sz="4" w:space="0" w:color="auto"/>
              <w:left w:val="nil"/>
              <w:bottom w:val="single" w:sz="4" w:space="0" w:color="auto"/>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150,96</w:t>
            </w:r>
          </w:p>
        </w:tc>
        <w:tc>
          <w:tcPr>
            <w:tcW w:w="851" w:type="dxa"/>
            <w:tcBorders>
              <w:top w:val="single" w:sz="4" w:space="0" w:color="auto"/>
              <w:left w:val="nil"/>
              <w:bottom w:val="single" w:sz="4" w:space="0" w:color="auto"/>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6.332,26</w:t>
            </w:r>
          </w:p>
        </w:tc>
        <w:tc>
          <w:tcPr>
            <w:tcW w:w="907" w:type="dxa"/>
            <w:tcBorders>
              <w:top w:val="single" w:sz="4" w:space="0" w:color="auto"/>
              <w:left w:val="nil"/>
              <w:bottom w:val="single" w:sz="4" w:space="0" w:color="auto"/>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2.713,82</w:t>
            </w:r>
          </w:p>
        </w:tc>
        <w:tc>
          <w:tcPr>
            <w:tcW w:w="964" w:type="dxa"/>
            <w:tcBorders>
              <w:top w:val="single" w:sz="4" w:space="0" w:color="auto"/>
              <w:left w:val="nil"/>
              <w:bottom w:val="single" w:sz="4" w:space="0" w:color="auto"/>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503,22</w:t>
            </w:r>
          </w:p>
        </w:tc>
        <w:tc>
          <w:tcPr>
            <w:tcW w:w="1418" w:type="dxa"/>
            <w:tcBorders>
              <w:top w:val="single" w:sz="4" w:space="0" w:color="auto"/>
              <w:left w:val="nil"/>
              <w:bottom w:val="single" w:sz="4" w:space="0" w:color="auto"/>
              <w:right w:val="nil"/>
            </w:tcBorders>
            <w:shd w:val="clear" w:color="auto" w:fill="auto"/>
            <w:noWrap/>
            <w:vAlign w:val="center"/>
          </w:tcPr>
          <w:p w:rsidR="001F5FA8" w:rsidRPr="00F703CB" w:rsidRDefault="001F5FA8" w:rsidP="008D1314">
            <w:pPr>
              <w:spacing w:after="0" w:line="240" w:lineRule="auto"/>
              <w:jc w:val="both"/>
              <w:rPr>
                <w:rFonts w:ascii="Times New Roman" w:hAnsi="Times New Roman"/>
                <w:b/>
                <w:bCs/>
                <w:color w:val="000000"/>
                <w:sz w:val="20"/>
                <w:szCs w:val="24"/>
              </w:rPr>
            </w:pPr>
            <w:r w:rsidRPr="00F703CB">
              <w:rPr>
                <w:rFonts w:ascii="Times New Roman" w:hAnsi="Times New Roman"/>
                <w:b/>
                <w:bCs/>
                <w:color w:val="000000"/>
                <w:sz w:val="20"/>
                <w:szCs w:val="24"/>
              </w:rPr>
              <w:t>983</w:t>
            </w:r>
          </w:p>
        </w:tc>
      </w:tr>
    </w:tbl>
    <w:p w:rsidR="00FB192F" w:rsidRDefault="00FB192F" w:rsidP="001F5FA8">
      <w:pPr>
        <w:pStyle w:val="BodyText"/>
        <w:spacing w:before="120" w:line="240" w:lineRule="auto"/>
        <w:jc w:val="both"/>
        <w:rPr>
          <w:rFonts w:ascii="Times New Roman" w:hAnsi="Times New Roman"/>
          <w:sz w:val="24"/>
          <w:szCs w:val="24"/>
        </w:rPr>
        <w:sectPr w:rsidR="00FB192F" w:rsidSect="00E230BE">
          <w:type w:val="continuous"/>
          <w:pgSz w:w="11906" w:h="16838"/>
          <w:pgMar w:top="1417" w:right="849" w:bottom="1417" w:left="1134" w:header="708" w:footer="340" w:gutter="0"/>
          <w:cols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p>
    <w:p w:rsidR="0026766B" w:rsidRDefault="0026766B" w:rsidP="001F5FA8">
      <w:pPr>
        <w:pStyle w:val="BodyText"/>
        <w:spacing w:before="120" w:line="240" w:lineRule="auto"/>
        <w:jc w:val="both"/>
        <w:rPr>
          <w:rFonts w:ascii="Times New Roman" w:hAnsi="Times New Roman"/>
          <w:sz w:val="24"/>
          <w:szCs w:val="24"/>
        </w:rPr>
        <w:sectPr w:rsidR="0026766B" w:rsidSect="00FB192F">
          <w:type w:val="continuous"/>
          <w:pgSz w:w="11906" w:h="16838"/>
          <w:pgMar w:top="1417" w:right="849" w:bottom="1417" w:left="1134" w:header="708" w:footer="708" w:gutter="0"/>
          <w:cols w:num="2" w:space="708"/>
          <w:docGrid w:linePitch="360"/>
        </w:sectPr>
      </w:pPr>
    </w:p>
    <w:p w:rsidR="00FB192F"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lastRenderedPageBreak/>
        <w:t>İllerde tıbbî atık bertaraf ücretleri İl Mahalli Çevre Kurulları tarafından senelik olar</w:t>
      </w:r>
      <w:r w:rsidR="0026766B">
        <w:rPr>
          <w:rFonts w:ascii="Times New Roman" w:hAnsi="Times New Roman"/>
          <w:sz w:val="24"/>
          <w:szCs w:val="24"/>
        </w:rPr>
        <w:t>ak</w:t>
      </w:r>
    </w:p>
    <w:p w:rsidR="0026766B" w:rsidRDefault="0026766B"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lastRenderedPageBreak/>
        <w:t>belirlenmektedir. Bolu, Düzce ve Sakarya illerine ait tıbbî atık bertaraf ücretlerinin zamansal değişimi Şekil 10’da verilmiştir.</w:t>
      </w:r>
    </w:p>
    <w:p w:rsidR="0026766B" w:rsidRDefault="0026766B" w:rsidP="001F5FA8">
      <w:pPr>
        <w:pStyle w:val="BodyText"/>
        <w:spacing w:before="120" w:line="240" w:lineRule="auto"/>
        <w:jc w:val="center"/>
        <w:rPr>
          <w:rFonts w:ascii="Times New Roman" w:hAnsi="Times New Roman"/>
          <w:sz w:val="24"/>
          <w:szCs w:val="24"/>
        </w:rPr>
        <w:sectPr w:rsidR="0026766B" w:rsidSect="0026766B">
          <w:type w:val="continuous"/>
          <w:pgSz w:w="11906" w:h="16838"/>
          <w:pgMar w:top="1417" w:right="849" w:bottom="1417" w:left="1134" w:header="708" w:footer="708" w:gutter="0"/>
          <w:cols w:num="2" w:space="708"/>
          <w:docGrid w:linePitch="360"/>
        </w:sectPr>
      </w:pPr>
    </w:p>
    <w:p w:rsidR="001F5FA8" w:rsidRPr="00D6441B" w:rsidRDefault="001F5FA8" w:rsidP="001F5FA8">
      <w:pPr>
        <w:pStyle w:val="BodyText"/>
        <w:spacing w:before="120" w:line="240" w:lineRule="auto"/>
        <w:jc w:val="center"/>
        <w:rPr>
          <w:rFonts w:ascii="Times New Roman" w:hAnsi="Times New Roman"/>
          <w:sz w:val="24"/>
          <w:szCs w:val="24"/>
        </w:rPr>
      </w:pPr>
      <w:r>
        <w:rPr>
          <w:rFonts w:ascii="Times New Roman" w:hAnsi="Times New Roman"/>
          <w:noProof/>
          <w:sz w:val="24"/>
          <w:szCs w:val="24"/>
          <w:lang w:val="en-AU" w:eastAsia="en-AU"/>
        </w:rPr>
        <w:lastRenderedPageBreak/>
        <w:drawing>
          <wp:inline distT="0" distB="0" distL="0" distR="0">
            <wp:extent cx="4191000" cy="2085975"/>
            <wp:effectExtent l="19050" t="0" r="19050" b="0"/>
            <wp:docPr id="142" name="Nesnesi 1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F5FA8" w:rsidRPr="00D6441B" w:rsidRDefault="001F5FA8" w:rsidP="001F5FA8">
      <w:pPr>
        <w:pStyle w:val="BodyText"/>
        <w:spacing w:before="120" w:line="240" w:lineRule="auto"/>
        <w:jc w:val="center"/>
        <w:rPr>
          <w:rFonts w:ascii="Times New Roman" w:hAnsi="Times New Roman"/>
          <w:sz w:val="24"/>
          <w:szCs w:val="24"/>
        </w:rPr>
      </w:pPr>
      <w:r w:rsidRPr="00D6441B">
        <w:rPr>
          <w:rFonts w:ascii="Times New Roman" w:hAnsi="Times New Roman"/>
          <w:b/>
          <w:sz w:val="24"/>
          <w:szCs w:val="24"/>
        </w:rPr>
        <w:t>Şekil 10</w:t>
      </w:r>
      <w:r w:rsidRPr="00D6441B">
        <w:rPr>
          <w:rFonts w:ascii="Times New Roman" w:hAnsi="Times New Roman"/>
          <w:sz w:val="24"/>
          <w:szCs w:val="24"/>
        </w:rPr>
        <w:t>. Bolu-Düzce ve Sakarya illerine ait tıbbî atık bertaraf ücretlerinin zamansal değişimi (BİMÇK, 2010; BİMÇK, 2011; DİMÇK, 2009; DİMÇK, 2010; DİMÇK, 2011; SİMÇK, 2009; SİMÇK, 2010; SİMÇK, 2011)</w:t>
      </w:r>
    </w:p>
    <w:p w:rsidR="0026766B" w:rsidRDefault="0026766B" w:rsidP="001F5FA8">
      <w:pPr>
        <w:pStyle w:val="BodyText"/>
        <w:spacing w:before="120" w:line="240" w:lineRule="auto"/>
        <w:jc w:val="both"/>
        <w:rPr>
          <w:rFonts w:ascii="Times New Roman" w:hAnsi="Times New Roman"/>
          <w:sz w:val="24"/>
          <w:szCs w:val="24"/>
        </w:rPr>
        <w:sectPr w:rsidR="0026766B" w:rsidSect="00FB192F">
          <w:type w:val="continuous"/>
          <w:pgSz w:w="11906" w:h="16838"/>
          <w:pgMar w:top="1417" w:right="849" w:bottom="1417" w:left="1134" w:header="708" w:footer="708" w:gutter="0"/>
          <w:cols w:space="708"/>
          <w:docGrid w:linePitch="360"/>
        </w:sectPr>
      </w:pPr>
    </w:p>
    <w:p w:rsidR="001F5FA8" w:rsidRPr="00D6441B" w:rsidRDefault="001F5FA8" w:rsidP="001F5FA8">
      <w:pPr>
        <w:pStyle w:val="BodyText"/>
        <w:spacing w:before="120" w:line="240" w:lineRule="auto"/>
        <w:jc w:val="both"/>
        <w:rPr>
          <w:rFonts w:ascii="Times New Roman" w:hAnsi="Times New Roman"/>
          <w:sz w:val="24"/>
          <w:szCs w:val="24"/>
        </w:rPr>
      </w:pPr>
      <w:r w:rsidRPr="0026766B">
        <w:rPr>
          <w:rFonts w:ascii="Times New Roman" w:hAnsi="Times New Roman"/>
          <w:b/>
          <w:sz w:val="24"/>
          <w:szCs w:val="24"/>
        </w:rPr>
        <w:lastRenderedPageBreak/>
        <w:t>Not1:</w:t>
      </w:r>
      <w:r w:rsidRPr="00D6441B">
        <w:rPr>
          <w:rFonts w:ascii="Times New Roman" w:hAnsi="Times New Roman"/>
          <w:sz w:val="24"/>
          <w:szCs w:val="24"/>
        </w:rPr>
        <w:t xml:space="preserve"> Ücretlere KDV dâhil değildir.</w:t>
      </w:r>
    </w:p>
    <w:p w:rsidR="00FB192F" w:rsidRDefault="001F5FA8" w:rsidP="001F5FA8">
      <w:pPr>
        <w:pStyle w:val="BodyText"/>
        <w:spacing w:before="120" w:line="240" w:lineRule="auto"/>
        <w:jc w:val="both"/>
        <w:rPr>
          <w:rFonts w:ascii="Times New Roman" w:hAnsi="Times New Roman"/>
          <w:sz w:val="24"/>
          <w:szCs w:val="24"/>
        </w:rPr>
      </w:pPr>
      <w:r w:rsidRPr="0026766B">
        <w:rPr>
          <w:rFonts w:ascii="Times New Roman" w:hAnsi="Times New Roman"/>
          <w:b/>
          <w:sz w:val="24"/>
          <w:szCs w:val="24"/>
        </w:rPr>
        <w:t>Not2:</w:t>
      </w:r>
      <w:r w:rsidRPr="00D6441B">
        <w:rPr>
          <w:rFonts w:ascii="Times New Roman" w:hAnsi="Times New Roman"/>
          <w:sz w:val="24"/>
          <w:szCs w:val="24"/>
        </w:rPr>
        <w:t xml:space="preserve"> 2009 yılında bu bedellere ek olarak tehlikeli atık bidon ücreti de ödenmiştir.</w:t>
      </w:r>
    </w:p>
    <w:p w:rsidR="00FB192F" w:rsidRDefault="001F5FA8" w:rsidP="001F5FA8">
      <w:pPr>
        <w:pStyle w:val="BodyText"/>
        <w:spacing w:before="120" w:line="240" w:lineRule="auto"/>
        <w:jc w:val="both"/>
        <w:rPr>
          <w:rFonts w:ascii="Times New Roman" w:hAnsi="Times New Roman"/>
          <w:sz w:val="24"/>
          <w:szCs w:val="24"/>
        </w:rPr>
        <w:sectPr w:rsidR="00FB192F" w:rsidSect="0026766B">
          <w:type w:val="continuous"/>
          <w:pgSz w:w="11906" w:h="16838"/>
          <w:pgMar w:top="1417" w:right="849" w:bottom="1417" w:left="1134" w:header="708" w:footer="708" w:gutter="0"/>
          <w:cols w:num="2" w:space="708"/>
          <w:docGrid w:linePitch="360"/>
        </w:sectPr>
      </w:pPr>
      <w:r w:rsidRPr="0026766B">
        <w:rPr>
          <w:rFonts w:ascii="Times New Roman" w:hAnsi="Times New Roman"/>
          <w:b/>
          <w:sz w:val="24"/>
          <w:szCs w:val="24"/>
        </w:rPr>
        <w:lastRenderedPageBreak/>
        <w:t>Not3</w:t>
      </w:r>
      <w:r w:rsidR="0026766B" w:rsidRPr="0026766B">
        <w:rPr>
          <w:rFonts w:ascii="Times New Roman" w:hAnsi="Times New Roman"/>
          <w:b/>
          <w:sz w:val="24"/>
          <w:szCs w:val="24"/>
        </w:rPr>
        <w:t>:</w:t>
      </w:r>
      <w:r w:rsidR="0026766B">
        <w:rPr>
          <w:rFonts w:ascii="Times New Roman" w:hAnsi="Times New Roman"/>
          <w:sz w:val="24"/>
          <w:szCs w:val="24"/>
        </w:rPr>
        <w:t xml:space="preserve"> </w:t>
      </w:r>
      <w:r w:rsidRPr="00D6441B">
        <w:rPr>
          <w:rFonts w:ascii="Times New Roman" w:hAnsi="Times New Roman"/>
          <w:sz w:val="24"/>
          <w:szCs w:val="24"/>
        </w:rPr>
        <w:t>Sakarya Büyükşehir Belediye sınırları dışındaki yerlerde tıbbî atık bertaraf ücreti 2009’da 1,85 TL/kg, 2010 ve 2011 yıllarında da 2 TL/kg olmuştur.</w:t>
      </w:r>
    </w:p>
    <w:p w:rsidR="001F5FA8" w:rsidRPr="00D6441B" w:rsidRDefault="001F5FA8" w:rsidP="001F5FA8">
      <w:pPr>
        <w:pStyle w:val="Heading1"/>
        <w:keepNext w:val="0"/>
        <w:spacing w:before="120" w:after="120" w:line="240" w:lineRule="auto"/>
        <w:jc w:val="both"/>
        <w:rPr>
          <w:rFonts w:ascii="Times New Roman" w:hAnsi="Times New Roman"/>
          <w:sz w:val="24"/>
          <w:szCs w:val="24"/>
        </w:rPr>
      </w:pPr>
      <w:r w:rsidRPr="00D6441B">
        <w:rPr>
          <w:rFonts w:ascii="Times New Roman" w:hAnsi="Times New Roman"/>
          <w:sz w:val="24"/>
          <w:szCs w:val="24"/>
        </w:rPr>
        <w:lastRenderedPageBreak/>
        <w:t>DEĞERLENDİRME VE SONUÇ</w:t>
      </w:r>
    </w:p>
    <w:p w:rsidR="001F5FA8" w:rsidRPr="00D6441B" w:rsidRDefault="001F5FA8"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2010 yılı itibari ile Sakarya Büyükşehir Belediyesi ile Bolu ve Düzce Belediyeleri arasında tıbbî atık konusunda bir protokol hazırlanarak yeni bir yönetim sistemi geliştirilmiştir. Geliştirilen bu sistem; Bolu, Düzce ve Sakarya il sınırları içerisinde bulunan tüm tıbbî atıkların Tıbbî</w:t>
      </w:r>
      <w:r w:rsidRPr="00D6441B">
        <w:rPr>
          <w:rFonts w:ascii="Times New Roman" w:hAnsi="Times New Roman"/>
          <w:i/>
          <w:sz w:val="24"/>
          <w:szCs w:val="24"/>
        </w:rPr>
        <w:t xml:space="preserve"> Atıkların Kontrolü Yönetmeliği</w:t>
      </w:r>
      <w:r w:rsidRPr="00D6441B">
        <w:rPr>
          <w:rFonts w:ascii="Times New Roman" w:hAnsi="Times New Roman"/>
          <w:sz w:val="24"/>
          <w:szCs w:val="24"/>
        </w:rPr>
        <w:t xml:space="preserve"> kapsamında insan ve çevre sağlığına zarar vermeden ayrı toplanması, taşınması ve tıbbî atık sterilizasyon tesisinde sterilize edildikten sonra depolanması için tıbbî atık sterilizasyon tesisi inşası ve 10 yıl süreli işletilmesi işi kapsamında kurulmuş ve faaliyete geçmiştir.</w:t>
      </w: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Sistem Tıbbî Atıkların Kontrolü Yönetmeliğinin yükümlülüklerini yerine getirmekle birlikte eski sistemden farklılık arz etmektedir. Yeni sistemin en büyük farklılıkları;</w:t>
      </w:r>
    </w:p>
    <w:p w:rsidR="001F5FA8" w:rsidRPr="00D6441B" w:rsidRDefault="001F5FA8" w:rsidP="001F5FA8">
      <w:pPr>
        <w:pStyle w:val="BodyText"/>
        <w:numPr>
          <w:ilvl w:val="0"/>
          <w:numId w:val="12"/>
        </w:numPr>
        <w:spacing w:before="120" w:line="240" w:lineRule="auto"/>
        <w:ind w:left="0" w:firstLine="0"/>
        <w:jc w:val="both"/>
        <w:rPr>
          <w:rFonts w:ascii="Times New Roman" w:hAnsi="Times New Roman"/>
          <w:sz w:val="24"/>
          <w:szCs w:val="24"/>
        </w:rPr>
      </w:pPr>
      <w:r w:rsidRPr="00D6441B">
        <w:rPr>
          <w:rFonts w:ascii="Times New Roman" w:hAnsi="Times New Roman"/>
          <w:sz w:val="24"/>
          <w:szCs w:val="24"/>
        </w:rPr>
        <w:t>tıbbî atıkların, içerisine tıbbî atık poşeti konulmuş, üzerlerinde nereye ait olduğu bilgisinin yer aldığı barkotları ve okunabilecek büyüklükte ve siyah renkli “Uluslararası Biyotehlike” amblemi ile yine siyah renkli harfler ile yazılmış “DİKKAT! TIBBÎ ATIK” ibaresi yer alan, dezenfekte edildikten sonra defalarca tekrar kullanılabilir, turuncu renkli, sızdırmaz, 70 L’lik tıbbî atık kovalarının içerisinde biriktirilmesi ve toplanması;</w:t>
      </w:r>
    </w:p>
    <w:p w:rsidR="001F5FA8" w:rsidRPr="00D6441B" w:rsidRDefault="001F5FA8" w:rsidP="001F5FA8">
      <w:pPr>
        <w:pStyle w:val="BodyText"/>
        <w:numPr>
          <w:ilvl w:val="0"/>
          <w:numId w:val="12"/>
        </w:numPr>
        <w:spacing w:before="120" w:line="240" w:lineRule="auto"/>
        <w:ind w:left="0" w:firstLine="0"/>
        <w:jc w:val="both"/>
        <w:rPr>
          <w:rFonts w:ascii="Times New Roman" w:hAnsi="Times New Roman"/>
          <w:sz w:val="24"/>
          <w:szCs w:val="24"/>
        </w:rPr>
      </w:pPr>
      <w:r w:rsidRPr="00D6441B">
        <w:rPr>
          <w:rFonts w:ascii="Times New Roman" w:hAnsi="Times New Roman"/>
          <w:sz w:val="24"/>
          <w:szCs w:val="24"/>
        </w:rPr>
        <w:t>poşetler dolup ağızları bağlandıktan sonra kovaların özel kilitleme mekanizmasıyla kilitlenebilir olması sayesinde taşıma işleminin patlamaya, dökülmeye ve sızmaya karşı güvenli bir şekilde gerçekleştirilebilir olması;</w:t>
      </w:r>
    </w:p>
    <w:p w:rsidR="001F5FA8" w:rsidRPr="00D6441B" w:rsidRDefault="001F5FA8" w:rsidP="001F5FA8">
      <w:pPr>
        <w:pStyle w:val="BodyText"/>
        <w:numPr>
          <w:ilvl w:val="0"/>
          <w:numId w:val="12"/>
        </w:numPr>
        <w:spacing w:before="120" w:line="240" w:lineRule="auto"/>
        <w:ind w:left="0" w:firstLine="0"/>
        <w:jc w:val="both"/>
        <w:rPr>
          <w:rFonts w:ascii="Times New Roman" w:hAnsi="Times New Roman"/>
          <w:sz w:val="24"/>
          <w:szCs w:val="24"/>
        </w:rPr>
      </w:pPr>
      <w:r w:rsidRPr="00D6441B">
        <w:rPr>
          <w:rFonts w:ascii="Times New Roman" w:hAnsi="Times New Roman"/>
          <w:sz w:val="24"/>
          <w:szCs w:val="24"/>
        </w:rPr>
        <w:t>dolu tıbbî atık kovalarının elektronik hassas teraziler ile tartılmasının yanında metal ve radyoaktivite ölçerlerle de kontrol edilmesi sayesinde tıbbî atıkların içerisine radyoaktif madde ve platin gibi metal parçaların karışmasının önlenmesi;</w:t>
      </w:r>
    </w:p>
    <w:p w:rsidR="001F5FA8" w:rsidRPr="00D6441B" w:rsidRDefault="001F5FA8" w:rsidP="001F5FA8">
      <w:pPr>
        <w:pStyle w:val="BodyText"/>
        <w:numPr>
          <w:ilvl w:val="0"/>
          <w:numId w:val="12"/>
        </w:numPr>
        <w:spacing w:before="120" w:line="240" w:lineRule="auto"/>
        <w:ind w:left="0" w:firstLine="0"/>
        <w:jc w:val="both"/>
        <w:rPr>
          <w:rFonts w:ascii="Times New Roman" w:hAnsi="Times New Roman"/>
          <w:sz w:val="24"/>
          <w:szCs w:val="24"/>
        </w:rPr>
      </w:pPr>
      <w:r w:rsidRPr="00D6441B">
        <w:rPr>
          <w:rFonts w:ascii="Times New Roman" w:hAnsi="Times New Roman"/>
          <w:sz w:val="24"/>
          <w:szCs w:val="24"/>
        </w:rPr>
        <w:t xml:space="preserve">barkot ve araç takip sistemli çevrimiçi izlenebilir otomasyon sistemi ile atığın kaynağından bertarafına kadar izlediği aşamaların tümünün ve atık bilgilerinin (kaynağı, miktarı vb) ilgili tüm taraflar </w:t>
      </w:r>
      <w:r w:rsidRPr="00D6441B">
        <w:rPr>
          <w:rFonts w:ascii="Times New Roman" w:hAnsi="Times New Roman"/>
          <w:sz w:val="24"/>
          <w:szCs w:val="24"/>
        </w:rPr>
        <w:lastRenderedPageBreak/>
        <w:t>(Bakanlık, Belediyeler, Atık üreticileri, Toplayıcı/Bertaraf edici) tarafından çevrimiçi erişilebilir ve izlenebilir olması ile kayıtların güvenli bir şekilde tutulması ve güvenli tutulmuş kayıtlar ile de geleceğe yönelik doğru öngörülerde bulunabilme imkânının sağlanıyor olması;</w:t>
      </w:r>
    </w:p>
    <w:p w:rsidR="001F5FA8" w:rsidRPr="00D6441B" w:rsidRDefault="001F5FA8" w:rsidP="001F5FA8">
      <w:pPr>
        <w:pStyle w:val="BodyText"/>
        <w:numPr>
          <w:ilvl w:val="0"/>
          <w:numId w:val="12"/>
        </w:numPr>
        <w:spacing w:before="120" w:line="240" w:lineRule="auto"/>
        <w:ind w:left="0" w:firstLine="0"/>
        <w:jc w:val="both"/>
        <w:rPr>
          <w:rFonts w:ascii="Times New Roman" w:hAnsi="Times New Roman"/>
          <w:sz w:val="24"/>
          <w:szCs w:val="24"/>
        </w:rPr>
      </w:pPr>
      <w:r w:rsidRPr="00D6441B">
        <w:rPr>
          <w:rFonts w:ascii="Times New Roman" w:hAnsi="Times New Roman"/>
          <w:sz w:val="24"/>
          <w:szCs w:val="24"/>
        </w:rPr>
        <w:t>tıbbî atık kovalarının klor dioksit (ClO</w:t>
      </w:r>
      <w:r w:rsidRPr="00D6441B">
        <w:rPr>
          <w:rFonts w:ascii="Times New Roman" w:hAnsi="Times New Roman"/>
          <w:sz w:val="24"/>
          <w:szCs w:val="24"/>
          <w:vertAlign w:val="subscript"/>
        </w:rPr>
        <w:t>2</w:t>
      </w:r>
      <w:r w:rsidRPr="00D6441B">
        <w:rPr>
          <w:rFonts w:ascii="Times New Roman" w:hAnsi="Times New Roman"/>
          <w:sz w:val="24"/>
          <w:szCs w:val="24"/>
        </w:rPr>
        <w:t>) ile dezenfeksiyonu sonrası tekrar kullanılmaları sayesinde fazladan bir ambalaj maliyetinin olmaması;</w:t>
      </w:r>
    </w:p>
    <w:p w:rsidR="001F5FA8" w:rsidRPr="00D6441B" w:rsidRDefault="001F5FA8" w:rsidP="001F5FA8">
      <w:pPr>
        <w:pStyle w:val="BodyText"/>
        <w:numPr>
          <w:ilvl w:val="0"/>
          <w:numId w:val="12"/>
        </w:numPr>
        <w:spacing w:before="120" w:line="240" w:lineRule="auto"/>
        <w:ind w:left="0" w:firstLine="0"/>
        <w:jc w:val="both"/>
        <w:rPr>
          <w:rFonts w:ascii="Times New Roman" w:hAnsi="Times New Roman"/>
          <w:sz w:val="24"/>
          <w:szCs w:val="24"/>
        </w:rPr>
      </w:pPr>
      <w:r w:rsidRPr="00D6441B">
        <w:rPr>
          <w:rFonts w:ascii="Times New Roman" w:hAnsi="Times New Roman"/>
          <w:sz w:val="24"/>
          <w:szCs w:val="24"/>
        </w:rPr>
        <w:t>atıkların parçalamalı otoklav sistemi ile sterilize edilmesi sayesinde atık hacminde %70’e varan bir azalma sağlanıyor olmasıdır.</w:t>
      </w:r>
    </w:p>
    <w:p w:rsidR="001F5FA8" w:rsidRPr="00D6441B" w:rsidRDefault="001F5FA8" w:rsidP="001F5FA8">
      <w:pPr>
        <w:pStyle w:val="BodyText"/>
        <w:spacing w:before="120" w:line="240" w:lineRule="auto"/>
        <w:jc w:val="both"/>
        <w:rPr>
          <w:rFonts w:ascii="Times New Roman" w:hAnsi="Times New Roman"/>
          <w:sz w:val="24"/>
          <w:szCs w:val="24"/>
        </w:rPr>
      </w:pPr>
    </w:p>
    <w:p w:rsidR="001F5FA8" w:rsidRPr="00D6441B" w:rsidRDefault="001F5FA8" w:rsidP="001F5FA8">
      <w:pPr>
        <w:pStyle w:val="BodyText"/>
        <w:spacing w:before="120" w:line="240" w:lineRule="auto"/>
        <w:jc w:val="both"/>
        <w:rPr>
          <w:rFonts w:ascii="Times New Roman" w:hAnsi="Times New Roman"/>
          <w:sz w:val="24"/>
          <w:szCs w:val="24"/>
        </w:rPr>
      </w:pPr>
      <w:r w:rsidRPr="00D6441B">
        <w:rPr>
          <w:rFonts w:ascii="Times New Roman" w:hAnsi="Times New Roman"/>
          <w:sz w:val="24"/>
          <w:szCs w:val="24"/>
        </w:rPr>
        <w:t>Sistem kayıtlarından elde edilen bilgilere ışığında Bolu, Düzce ve Sakarya illerinin geneli için tıbbî atık oluşum hızı 0,61 kg/kişi-yıl ve 0,63 kg/yatak-gün olarak hesaplanmıştır. Bunun yanı sıra atık ortalama yoğunluğunun 151 kg/m</w:t>
      </w:r>
      <w:r w:rsidRPr="00D6441B">
        <w:rPr>
          <w:rFonts w:ascii="Times New Roman" w:hAnsi="Times New Roman"/>
          <w:sz w:val="24"/>
          <w:szCs w:val="24"/>
          <w:vertAlign w:val="superscript"/>
        </w:rPr>
        <w:t>3</w:t>
      </w:r>
      <w:r w:rsidRPr="00D6441B">
        <w:rPr>
          <w:rFonts w:ascii="Times New Roman" w:hAnsi="Times New Roman"/>
          <w:sz w:val="24"/>
          <w:szCs w:val="24"/>
        </w:rPr>
        <w:t xml:space="preserve"> ve buna bağlı olarak da sterilizasyon tesisi saatlik kapasitesinin 1.311 kg/sa olduğu sonucuna varılmıştır. Bu veriler ışığında sterilizasyon tesisinin tek vardiyadaki (8 saat) kapasitesinin ortalama 10.488 kg olduğu görülmüştür. Ayrıca sterilizasyondan sonraki parçalama işlemi sayesinde ayda ortalama 352 m</w:t>
      </w:r>
      <w:r w:rsidRPr="00D6441B">
        <w:rPr>
          <w:rFonts w:ascii="Times New Roman" w:hAnsi="Times New Roman"/>
          <w:sz w:val="24"/>
          <w:szCs w:val="24"/>
          <w:vertAlign w:val="superscript"/>
        </w:rPr>
        <w:t>3</w:t>
      </w:r>
      <w:r w:rsidRPr="00D6441B">
        <w:rPr>
          <w:rFonts w:ascii="Times New Roman" w:hAnsi="Times New Roman"/>
          <w:sz w:val="24"/>
          <w:szCs w:val="24"/>
        </w:rPr>
        <w:t>, yılda ise 4.222 m</w:t>
      </w:r>
      <w:r w:rsidRPr="00D6441B">
        <w:rPr>
          <w:rFonts w:ascii="Times New Roman" w:hAnsi="Times New Roman"/>
          <w:sz w:val="24"/>
          <w:szCs w:val="24"/>
          <w:vertAlign w:val="superscript"/>
        </w:rPr>
        <w:t>3</w:t>
      </w:r>
      <w:r w:rsidRPr="00D6441B">
        <w:rPr>
          <w:rFonts w:ascii="Times New Roman" w:hAnsi="Times New Roman"/>
          <w:sz w:val="24"/>
          <w:szCs w:val="24"/>
        </w:rPr>
        <w:t>’lük bir hacim azalması sağlanmaktadır.</w:t>
      </w:r>
    </w:p>
    <w:p w:rsidR="001F5FA8" w:rsidRPr="00D6441B" w:rsidRDefault="001F5FA8" w:rsidP="001F5FA8">
      <w:pPr>
        <w:pStyle w:val="BodyText"/>
        <w:spacing w:before="120" w:line="240" w:lineRule="auto"/>
        <w:jc w:val="both"/>
        <w:rPr>
          <w:rFonts w:ascii="Times New Roman" w:hAnsi="Times New Roman"/>
          <w:sz w:val="24"/>
          <w:szCs w:val="24"/>
        </w:rPr>
      </w:pPr>
    </w:p>
    <w:p w:rsidR="001F5FA8" w:rsidRPr="00D6441B" w:rsidRDefault="001F5FA8" w:rsidP="0026766B">
      <w:pPr>
        <w:pStyle w:val="Heading1"/>
        <w:spacing w:before="120" w:after="120" w:line="240" w:lineRule="auto"/>
        <w:ind w:left="567" w:hanging="567"/>
        <w:jc w:val="both"/>
        <w:rPr>
          <w:rFonts w:ascii="Times New Roman" w:eastAsia="SimSun" w:hAnsi="Times New Roman"/>
          <w:sz w:val="24"/>
          <w:szCs w:val="24"/>
        </w:rPr>
      </w:pPr>
      <w:r w:rsidRPr="00D6441B">
        <w:rPr>
          <w:rFonts w:ascii="Times New Roman" w:eastAsia="SimSun" w:hAnsi="Times New Roman"/>
          <w:sz w:val="24"/>
          <w:szCs w:val="24"/>
        </w:rPr>
        <w:t>KAYNAKLAR</w:t>
      </w:r>
    </w:p>
    <w:p w:rsidR="001F5FA8" w:rsidRPr="00D6441B" w:rsidRDefault="001F5FA8" w:rsidP="0026766B">
      <w:pPr>
        <w:pStyle w:val="BodyText"/>
        <w:spacing w:before="120" w:line="240" w:lineRule="auto"/>
        <w:ind w:left="567" w:hanging="567"/>
        <w:jc w:val="both"/>
        <w:rPr>
          <w:rFonts w:ascii="Times New Roman" w:eastAsia="SimSun" w:hAnsi="Times New Roman"/>
          <w:sz w:val="24"/>
          <w:szCs w:val="24"/>
        </w:rPr>
      </w:pP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BİMÇK, 2010</w:t>
      </w:r>
      <w:r w:rsidRPr="00D6441B">
        <w:rPr>
          <w:rFonts w:ascii="Times New Roman" w:hAnsi="Times New Roman"/>
          <w:sz w:val="24"/>
          <w:szCs w:val="24"/>
        </w:rPr>
        <w:tab/>
        <w:t>Bolu İl Mahalli Çevre Kurul Kararı, “</w:t>
      </w:r>
      <w:r w:rsidRPr="00D6441B">
        <w:rPr>
          <w:rFonts w:ascii="Times New Roman" w:hAnsi="Times New Roman"/>
          <w:i/>
          <w:sz w:val="24"/>
          <w:szCs w:val="24"/>
        </w:rPr>
        <w:t>2010 yılı tıbbî atık bertaraf ücretleri</w:t>
      </w:r>
      <w:r w:rsidRPr="00D6441B">
        <w:rPr>
          <w:rFonts w:ascii="Times New Roman" w:hAnsi="Times New Roman"/>
          <w:sz w:val="24"/>
          <w:szCs w:val="24"/>
        </w:rPr>
        <w:t>”, Tarih: 02/04/2010, Sayı: 39.</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BİMÇK, 2011</w:t>
      </w:r>
      <w:r w:rsidRPr="00D6441B">
        <w:rPr>
          <w:rFonts w:ascii="Times New Roman" w:hAnsi="Times New Roman"/>
          <w:sz w:val="24"/>
          <w:szCs w:val="24"/>
        </w:rPr>
        <w:tab/>
        <w:t>Bolu İl Mahalli Çevre Kurul Kararı, “</w:t>
      </w:r>
      <w:r w:rsidRPr="00D6441B">
        <w:rPr>
          <w:rFonts w:ascii="Times New Roman" w:hAnsi="Times New Roman"/>
          <w:i/>
          <w:sz w:val="24"/>
          <w:szCs w:val="24"/>
        </w:rPr>
        <w:t>2011 yılı tıbbî atık bertaraf ücretleri</w:t>
      </w:r>
      <w:r w:rsidRPr="00D6441B">
        <w:rPr>
          <w:rFonts w:ascii="Times New Roman" w:hAnsi="Times New Roman"/>
          <w:sz w:val="24"/>
          <w:szCs w:val="24"/>
        </w:rPr>
        <w:t>”, Tarih: 07/01/2011, Sayı: 43.</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ÇOB, 2005</w:t>
      </w:r>
      <w:r w:rsidRPr="00D6441B">
        <w:rPr>
          <w:rFonts w:ascii="Times New Roman" w:hAnsi="Times New Roman"/>
          <w:sz w:val="24"/>
          <w:szCs w:val="24"/>
        </w:rPr>
        <w:tab/>
        <w:t>ÇOB, T.C. Çevre ve Orman Bakanlığı, “</w:t>
      </w:r>
      <w:r w:rsidRPr="00D6441B">
        <w:rPr>
          <w:rFonts w:ascii="Times New Roman" w:hAnsi="Times New Roman"/>
          <w:i/>
          <w:sz w:val="24"/>
          <w:szCs w:val="24"/>
        </w:rPr>
        <w:t>Tıbbî Atıkların Kontrolü Yönetmeliği</w:t>
      </w:r>
      <w:r w:rsidRPr="00D6441B">
        <w:rPr>
          <w:rFonts w:ascii="Times New Roman" w:hAnsi="Times New Roman"/>
          <w:sz w:val="24"/>
          <w:szCs w:val="24"/>
        </w:rPr>
        <w:t>”, Resmi Gazete, Tarih: 22/07/2005, Sayı: 25883.</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ÇOB, 2007a</w:t>
      </w:r>
      <w:r w:rsidRPr="00D6441B">
        <w:rPr>
          <w:rFonts w:ascii="Times New Roman" w:hAnsi="Times New Roman"/>
          <w:sz w:val="24"/>
          <w:szCs w:val="24"/>
        </w:rPr>
        <w:tab/>
        <w:t>ÇOB, T.C. Çevre ve Orman Bakanlığı, “</w:t>
      </w:r>
      <w:r w:rsidRPr="00D6441B">
        <w:rPr>
          <w:rFonts w:ascii="Times New Roman" w:hAnsi="Times New Roman"/>
          <w:i/>
          <w:sz w:val="24"/>
          <w:szCs w:val="24"/>
        </w:rPr>
        <w:t>Bolu İl Çevre Durum Raporu 2006</w:t>
      </w:r>
      <w:r w:rsidRPr="00D6441B">
        <w:rPr>
          <w:rFonts w:ascii="Times New Roman" w:hAnsi="Times New Roman"/>
          <w:sz w:val="24"/>
          <w:szCs w:val="24"/>
        </w:rPr>
        <w:t>”, 2007.</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lastRenderedPageBreak/>
        <w:t>ÇOB, 2007b</w:t>
      </w:r>
      <w:r w:rsidRPr="00D6441B">
        <w:rPr>
          <w:rFonts w:ascii="Times New Roman" w:hAnsi="Times New Roman"/>
          <w:sz w:val="24"/>
          <w:szCs w:val="24"/>
        </w:rPr>
        <w:tab/>
        <w:t>ÇOB, T.C. Çevre ve Orman Bakanlığı, “</w:t>
      </w:r>
      <w:r w:rsidRPr="00D6441B">
        <w:rPr>
          <w:rFonts w:ascii="Times New Roman" w:hAnsi="Times New Roman"/>
          <w:i/>
          <w:sz w:val="24"/>
          <w:szCs w:val="24"/>
        </w:rPr>
        <w:t>Düzce İl Çevre Durum Raporu 2006</w:t>
      </w:r>
      <w:r w:rsidRPr="00D6441B">
        <w:rPr>
          <w:rFonts w:ascii="Times New Roman" w:hAnsi="Times New Roman"/>
          <w:sz w:val="24"/>
          <w:szCs w:val="24"/>
        </w:rPr>
        <w:t>”, 2007.</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ÇOB, 2007c</w:t>
      </w:r>
      <w:r w:rsidRPr="00D6441B">
        <w:rPr>
          <w:rFonts w:ascii="Times New Roman" w:hAnsi="Times New Roman"/>
          <w:sz w:val="24"/>
          <w:szCs w:val="24"/>
        </w:rPr>
        <w:tab/>
        <w:t>ÇOB, T.C. Çevre ve Orman Bakanlığı, “</w:t>
      </w:r>
      <w:r w:rsidRPr="00D6441B">
        <w:rPr>
          <w:rFonts w:ascii="Times New Roman" w:hAnsi="Times New Roman"/>
          <w:i/>
          <w:sz w:val="24"/>
          <w:szCs w:val="24"/>
        </w:rPr>
        <w:t>Sakarya İl Çevre Durum Raporu 2006</w:t>
      </w:r>
      <w:r w:rsidRPr="00D6441B">
        <w:rPr>
          <w:rFonts w:ascii="Times New Roman" w:hAnsi="Times New Roman"/>
          <w:sz w:val="24"/>
          <w:szCs w:val="24"/>
        </w:rPr>
        <w:t>”, 2007.</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ÇOB, 2008a</w:t>
      </w:r>
      <w:r w:rsidRPr="00D6441B">
        <w:rPr>
          <w:rFonts w:ascii="Times New Roman" w:hAnsi="Times New Roman"/>
          <w:sz w:val="24"/>
          <w:szCs w:val="24"/>
        </w:rPr>
        <w:tab/>
        <w:t>ÇOB, T.C. Çevre ve Orman Bakanlığı, “</w:t>
      </w:r>
      <w:r w:rsidRPr="00D6441B">
        <w:rPr>
          <w:rFonts w:ascii="Times New Roman" w:hAnsi="Times New Roman"/>
          <w:i/>
          <w:sz w:val="24"/>
          <w:szCs w:val="24"/>
        </w:rPr>
        <w:t>Bolu İl Çevre Durum Raporu 2007</w:t>
      </w:r>
      <w:r w:rsidRPr="00D6441B">
        <w:rPr>
          <w:rFonts w:ascii="Times New Roman" w:hAnsi="Times New Roman"/>
          <w:sz w:val="24"/>
          <w:szCs w:val="24"/>
        </w:rPr>
        <w:t>”, 2008.</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ÇOB, 2008b</w:t>
      </w:r>
      <w:r w:rsidRPr="00D6441B">
        <w:rPr>
          <w:rFonts w:ascii="Times New Roman" w:hAnsi="Times New Roman"/>
          <w:sz w:val="24"/>
          <w:szCs w:val="24"/>
        </w:rPr>
        <w:tab/>
        <w:t>ÇOB, T.C. Çevre ve Orman Bakanlığı, “</w:t>
      </w:r>
      <w:r w:rsidRPr="00D6441B">
        <w:rPr>
          <w:rFonts w:ascii="Times New Roman" w:hAnsi="Times New Roman"/>
          <w:i/>
          <w:sz w:val="24"/>
          <w:szCs w:val="24"/>
        </w:rPr>
        <w:t>Düzce İl Çevre Durum Raporu 2007</w:t>
      </w:r>
      <w:r w:rsidRPr="00D6441B">
        <w:rPr>
          <w:rFonts w:ascii="Times New Roman" w:hAnsi="Times New Roman"/>
          <w:sz w:val="24"/>
          <w:szCs w:val="24"/>
        </w:rPr>
        <w:t>”, 2008.</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ÇOB, 2008c</w:t>
      </w:r>
      <w:r w:rsidRPr="00D6441B">
        <w:rPr>
          <w:rFonts w:ascii="Times New Roman" w:hAnsi="Times New Roman"/>
          <w:sz w:val="24"/>
          <w:szCs w:val="24"/>
        </w:rPr>
        <w:tab/>
        <w:t>ÇOB, T.C. Çevre ve Orman Bakanlığı, “</w:t>
      </w:r>
      <w:r w:rsidRPr="00D6441B">
        <w:rPr>
          <w:rFonts w:ascii="Times New Roman" w:hAnsi="Times New Roman"/>
          <w:i/>
          <w:sz w:val="24"/>
          <w:szCs w:val="24"/>
        </w:rPr>
        <w:t>Sakarya İl Çevre Durum Raporu 2007</w:t>
      </w:r>
      <w:r w:rsidRPr="00D6441B">
        <w:rPr>
          <w:rFonts w:ascii="Times New Roman" w:hAnsi="Times New Roman"/>
          <w:sz w:val="24"/>
          <w:szCs w:val="24"/>
        </w:rPr>
        <w:t>”, 2008.</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ÇOB, 2009a</w:t>
      </w:r>
      <w:r w:rsidRPr="00D6441B">
        <w:rPr>
          <w:rFonts w:ascii="Times New Roman" w:hAnsi="Times New Roman"/>
          <w:sz w:val="24"/>
          <w:szCs w:val="24"/>
        </w:rPr>
        <w:tab/>
        <w:t>ÇOB, T.C. Çevre ve Orman Bakanlığı, “</w:t>
      </w:r>
      <w:r w:rsidRPr="00D6441B">
        <w:rPr>
          <w:rFonts w:ascii="Times New Roman" w:hAnsi="Times New Roman"/>
          <w:i/>
          <w:sz w:val="24"/>
          <w:szCs w:val="24"/>
        </w:rPr>
        <w:t>Bolu İl Çevre Durum Raporu 2008</w:t>
      </w:r>
      <w:r w:rsidRPr="00D6441B">
        <w:rPr>
          <w:rFonts w:ascii="Times New Roman" w:hAnsi="Times New Roman"/>
          <w:sz w:val="24"/>
          <w:szCs w:val="24"/>
        </w:rPr>
        <w:t>”, 2009.</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ÇOB, 2009b</w:t>
      </w:r>
      <w:r w:rsidRPr="00D6441B">
        <w:rPr>
          <w:rFonts w:ascii="Times New Roman" w:hAnsi="Times New Roman"/>
          <w:sz w:val="24"/>
          <w:szCs w:val="24"/>
        </w:rPr>
        <w:tab/>
        <w:t>ÇOB, T.C. Çevre ve Orman Bakanlığı, “</w:t>
      </w:r>
      <w:r w:rsidRPr="00D6441B">
        <w:rPr>
          <w:rFonts w:ascii="Times New Roman" w:hAnsi="Times New Roman"/>
          <w:i/>
          <w:sz w:val="24"/>
          <w:szCs w:val="24"/>
        </w:rPr>
        <w:t>Düzce İl Çevre Durum Raporu 2008</w:t>
      </w:r>
      <w:r w:rsidRPr="00D6441B">
        <w:rPr>
          <w:rFonts w:ascii="Times New Roman" w:hAnsi="Times New Roman"/>
          <w:sz w:val="24"/>
          <w:szCs w:val="24"/>
        </w:rPr>
        <w:t>”, 2009.</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ÇOB, 2009c</w:t>
      </w:r>
      <w:r w:rsidRPr="00D6441B">
        <w:rPr>
          <w:rFonts w:ascii="Times New Roman" w:hAnsi="Times New Roman"/>
          <w:sz w:val="24"/>
          <w:szCs w:val="24"/>
        </w:rPr>
        <w:tab/>
        <w:t>ÇOB, T.C. Çevre ve Orman Bakanlığı, “</w:t>
      </w:r>
      <w:r w:rsidRPr="00D6441B">
        <w:rPr>
          <w:rFonts w:ascii="Times New Roman" w:hAnsi="Times New Roman"/>
          <w:i/>
          <w:sz w:val="24"/>
          <w:szCs w:val="24"/>
        </w:rPr>
        <w:t>Sakarya İl Çevre Durum Raporu 2008</w:t>
      </w:r>
      <w:r w:rsidRPr="00D6441B">
        <w:rPr>
          <w:rFonts w:ascii="Times New Roman" w:hAnsi="Times New Roman"/>
          <w:sz w:val="24"/>
          <w:szCs w:val="24"/>
        </w:rPr>
        <w:t>”, 2009.</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DİMÇK, 2009</w:t>
      </w:r>
      <w:r w:rsidRPr="00D6441B">
        <w:rPr>
          <w:rFonts w:ascii="Times New Roman" w:hAnsi="Times New Roman"/>
          <w:sz w:val="24"/>
          <w:szCs w:val="24"/>
        </w:rPr>
        <w:tab/>
        <w:t>Düzce İl Mahalli Çevre Kurul Kararı, “</w:t>
      </w:r>
      <w:r w:rsidRPr="00D6441B">
        <w:rPr>
          <w:rFonts w:ascii="Times New Roman" w:hAnsi="Times New Roman"/>
          <w:i/>
          <w:sz w:val="24"/>
          <w:szCs w:val="24"/>
        </w:rPr>
        <w:t>2009 yılı tıbbî atık bertaraf ücretleri</w:t>
      </w:r>
      <w:r w:rsidRPr="00D6441B">
        <w:rPr>
          <w:rFonts w:ascii="Times New Roman" w:hAnsi="Times New Roman"/>
          <w:sz w:val="24"/>
          <w:szCs w:val="24"/>
        </w:rPr>
        <w:t>”, Tarih: 30/12/2008, Sayı: 2008/14.</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DİMÇK, 2010</w:t>
      </w:r>
      <w:r w:rsidRPr="00D6441B">
        <w:rPr>
          <w:rFonts w:ascii="Times New Roman" w:hAnsi="Times New Roman"/>
          <w:sz w:val="24"/>
          <w:szCs w:val="24"/>
        </w:rPr>
        <w:tab/>
        <w:t>Düzce İl Mahalli Çevre Kurul Kararı, “</w:t>
      </w:r>
      <w:r w:rsidRPr="00D6441B">
        <w:rPr>
          <w:rFonts w:ascii="Times New Roman" w:hAnsi="Times New Roman"/>
          <w:i/>
          <w:sz w:val="24"/>
          <w:szCs w:val="24"/>
        </w:rPr>
        <w:t>2010 yılı tıbbî atık bertaraf ücretleri</w:t>
      </w:r>
      <w:r w:rsidRPr="00D6441B">
        <w:rPr>
          <w:rFonts w:ascii="Times New Roman" w:hAnsi="Times New Roman"/>
          <w:sz w:val="24"/>
          <w:szCs w:val="24"/>
        </w:rPr>
        <w:t>”, Tarih: 29/12/2009, Sayı: 2009/07.</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DİMÇK, 2011</w:t>
      </w:r>
      <w:r w:rsidRPr="00D6441B">
        <w:rPr>
          <w:rFonts w:ascii="Times New Roman" w:hAnsi="Times New Roman"/>
          <w:sz w:val="24"/>
          <w:szCs w:val="24"/>
        </w:rPr>
        <w:tab/>
        <w:t>Düzce İl Mahalli Çevre Kurul Kararı, “</w:t>
      </w:r>
      <w:r w:rsidRPr="00D6441B">
        <w:rPr>
          <w:rFonts w:ascii="Times New Roman" w:hAnsi="Times New Roman"/>
          <w:i/>
          <w:sz w:val="24"/>
          <w:szCs w:val="24"/>
        </w:rPr>
        <w:t xml:space="preserve">2011 yılı tıbbî atık bertaraf </w:t>
      </w:r>
      <w:r w:rsidRPr="00D6441B">
        <w:rPr>
          <w:rFonts w:ascii="Times New Roman" w:hAnsi="Times New Roman"/>
          <w:i/>
          <w:sz w:val="24"/>
          <w:szCs w:val="24"/>
        </w:rPr>
        <w:lastRenderedPageBreak/>
        <w:t>ücretleri</w:t>
      </w:r>
      <w:r w:rsidRPr="00D6441B">
        <w:rPr>
          <w:rFonts w:ascii="Times New Roman" w:hAnsi="Times New Roman"/>
          <w:sz w:val="24"/>
          <w:szCs w:val="24"/>
        </w:rPr>
        <w:t>”, Tarih: 31/01/2011, Sayı: 2011/01.</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ERA, 2011</w:t>
      </w:r>
      <w:r w:rsidRPr="00D6441B">
        <w:rPr>
          <w:rFonts w:ascii="Times New Roman" w:hAnsi="Times New Roman"/>
          <w:sz w:val="24"/>
          <w:szCs w:val="24"/>
        </w:rPr>
        <w:tab/>
        <w:t xml:space="preserve">ERA Çevre Teknolojileri San. Tic. Ltd. Şti., </w:t>
      </w:r>
      <w:hyperlink r:id="rId67" w:history="1">
        <w:r w:rsidRPr="00D6441B">
          <w:rPr>
            <w:rStyle w:val="Hyperlink"/>
            <w:rFonts w:ascii="Times New Roman" w:hAnsi="Times New Roman"/>
            <w:sz w:val="24"/>
            <w:szCs w:val="24"/>
          </w:rPr>
          <w:t>http://www.eracevre.com/</w:t>
        </w:r>
      </w:hyperlink>
      <w:r w:rsidRPr="00D6441B">
        <w:rPr>
          <w:rFonts w:ascii="Times New Roman" w:hAnsi="Times New Roman"/>
          <w:sz w:val="24"/>
          <w:szCs w:val="24"/>
        </w:rPr>
        <w:t>, 2011.</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SB, 2011</w:t>
      </w:r>
      <w:r w:rsidRPr="00D6441B">
        <w:rPr>
          <w:rFonts w:ascii="Times New Roman" w:hAnsi="Times New Roman"/>
          <w:sz w:val="24"/>
          <w:szCs w:val="24"/>
        </w:rPr>
        <w:tab/>
        <w:t>Sağlık Bakanlığı, “Türkiye’deki Yataklı Tedavi Kurumları”, 2011.</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SBB, 2009</w:t>
      </w:r>
      <w:r w:rsidRPr="00D6441B">
        <w:rPr>
          <w:rFonts w:ascii="Times New Roman" w:hAnsi="Times New Roman"/>
          <w:sz w:val="24"/>
          <w:szCs w:val="24"/>
        </w:rPr>
        <w:tab/>
        <w:t>Sakarya Büyükşehir Belediyesi, Çevre Koruma ve Kontrol Daire Başkanlığı, “Tıbbî Atık Sterilizasyon Tesisi Fizibilite Raporu”, 2009.</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SİMÇK, 2009</w:t>
      </w:r>
      <w:r w:rsidRPr="00D6441B">
        <w:rPr>
          <w:rFonts w:ascii="Times New Roman" w:hAnsi="Times New Roman"/>
          <w:sz w:val="24"/>
          <w:szCs w:val="24"/>
        </w:rPr>
        <w:tab/>
        <w:t>Sakarya İl Mahalli Çevre Kurul Kararı, “</w:t>
      </w:r>
      <w:r w:rsidRPr="00D6441B">
        <w:rPr>
          <w:rFonts w:ascii="Times New Roman" w:hAnsi="Times New Roman"/>
          <w:i/>
          <w:sz w:val="24"/>
          <w:szCs w:val="24"/>
        </w:rPr>
        <w:t>2009 yılı tıbbî atık bertaraf ücretleri</w:t>
      </w:r>
      <w:r w:rsidRPr="00D6441B">
        <w:rPr>
          <w:rFonts w:ascii="Times New Roman" w:hAnsi="Times New Roman"/>
          <w:sz w:val="24"/>
          <w:szCs w:val="24"/>
        </w:rPr>
        <w:t>”, Tarih: 02/02/2009, Sayı: 2009/58.</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SİMÇK, 2010</w:t>
      </w:r>
      <w:r w:rsidRPr="00D6441B">
        <w:rPr>
          <w:rFonts w:ascii="Times New Roman" w:hAnsi="Times New Roman"/>
          <w:sz w:val="24"/>
          <w:szCs w:val="24"/>
        </w:rPr>
        <w:tab/>
        <w:t>Sakarya İl Mahalli Çevre Kurul Kararı, “</w:t>
      </w:r>
      <w:r w:rsidRPr="00D6441B">
        <w:rPr>
          <w:rFonts w:ascii="Times New Roman" w:hAnsi="Times New Roman"/>
          <w:i/>
          <w:sz w:val="24"/>
          <w:szCs w:val="24"/>
        </w:rPr>
        <w:t>2010 yılı tıbbî atık bertaraf ücretleri</w:t>
      </w:r>
      <w:r w:rsidRPr="00D6441B">
        <w:rPr>
          <w:rFonts w:ascii="Times New Roman" w:hAnsi="Times New Roman"/>
          <w:sz w:val="24"/>
          <w:szCs w:val="24"/>
        </w:rPr>
        <w:t>”, Tarih: 30/12/2009, Sayı: 2009/66.</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SİMÇK, 2011</w:t>
      </w:r>
      <w:r w:rsidRPr="00D6441B">
        <w:rPr>
          <w:rFonts w:ascii="Times New Roman" w:hAnsi="Times New Roman"/>
          <w:sz w:val="24"/>
          <w:szCs w:val="24"/>
        </w:rPr>
        <w:tab/>
        <w:t>Sakarya İl Mahalli Çevre Kurul Kararı, “</w:t>
      </w:r>
      <w:r w:rsidRPr="00D6441B">
        <w:rPr>
          <w:rFonts w:ascii="Times New Roman" w:hAnsi="Times New Roman"/>
          <w:i/>
          <w:sz w:val="24"/>
          <w:szCs w:val="24"/>
        </w:rPr>
        <w:t>2011 yılı tıbbî atık bertaraf ücretleri</w:t>
      </w:r>
      <w:r w:rsidRPr="00D6441B">
        <w:rPr>
          <w:rFonts w:ascii="Times New Roman" w:hAnsi="Times New Roman"/>
          <w:sz w:val="24"/>
          <w:szCs w:val="24"/>
        </w:rPr>
        <w:t>”, Tarih: 31/12/2010, Sayı: 2010/74.</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TÜİK, 2011</w:t>
      </w:r>
      <w:r w:rsidRPr="00D6441B">
        <w:rPr>
          <w:rFonts w:ascii="Times New Roman" w:hAnsi="Times New Roman"/>
          <w:sz w:val="24"/>
          <w:szCs w:val="24"/>
        </w:rPr>
        <w:tab/>
        <w:t xml:space="preserve">Türkiye İstatistik Kurumu (TÜİK), Adrese Dayalı Nüfus Kayıt Sistemi (ADNKS) Veritabanı, </w:t>
      </w:r>
      <w:hyperlink r:id="rId68" w:history="1">
        <w:r w:rsidRPr="00D6441B">
          <w:rPr>
            <w:rStyle w:val="Hyperlink"/>
            <w:rFonts w:ascii="Times New Roman" w:hAnsi="Times New Roman"/>
            <w:sz w:val="24"/>
            <w:szCs w:val="24"/>
          </w:rPr>
          <w:t>http://tuikapp.tuik.gov.tr/adnksdagitapp/adnks.zul</w:t>
        </w:r>
      </w:hyperlink>
      <w:r w:rsidRPr="00D6441B">
        <w:rPr>
          <w:rFonts w:ascii="Times New Roman" w:hAnsi="Times New Roman"/>
          <w:sz w:val="24"/>
          <w:szCs w:val="24"/>
        </w:rPr>
        <w:t>, [Erişim: 11/07/2011].</w:t>
      </w:r>
    </w:p>
    <w:p w:rsidR="001F5FA8" w:rsidRPr="00D6441B" w:rsidRDefault="001F5FA8" w:rsidP="0026766B">
      <w:pPr>
        <w:pStyle w:val="BodyText"/>
        <w:tabs>
          <w:tab w:val="left" w:pos="1276"/>
        </w:tabs>
        <w:spacing w:before="120" w:line="240" w:lineRule="auto"/>
        <w:ind w:left="567" w:hanging="567"/>
        <w:jc w:val="both"/>
        <w:rPr>
          <w:rFonts w:ascii="Times New Roman" w:hAnsi="Times New Roman"/>
          <w:sz w:val="24"/>
          <w:szCs w:val="24"/>
        </w:rPr>
      </w:pPr>
      <w:r w:rsidRPr="00D6441B">
        <w:rPr>
          <w:rFonts w:ascii="Times New Roman" w:hAnsi="Times New Roman"/>
          <w:sz w:val="24"/>
          <w:szCs w:val="24"/>
        </w:rPr>
        <w:t>WHO, 1999</w:t>
      </w:r>
      <w:r w:rsidRPr="00D6441B">
        <w:rPr>
          <w:rFonts w:ascii="Times New Roman" w:hAnsi="Times New Roman"/>
          <w:sz w:val="24"/>
          <w:szCs w:val="24"/>
        </w:rPr>
        <w:tab/>
        <w:t>WHO, Dünya Sağlık Teşkilatı, “</w:t>
      </w:r>
      <w:r w:rsidRPr="00D6441B">
        <w:rPr>
          <w:rFonts w:ascii="Times New Roman" w:hAnsi="Times New Roman"/>
          <w:i/>
          <w:sz w:val="24"/>
          <w:szCs w:val="24"/>
        </w:rPr>
        <w:t>Safe management of wastes from healthcare activities</w:t>
      </w:r>
      <w:r w:rsidRPr="00D6441B">
        <w:rPr>
          <w:rFonts w:ascii="Times New Roman" w:hAnsi="Times New Roman"/>
          <w:sz w:val="24"/>
          <w:szCs w:val="24"/>
        </w:rPr>
        <w:t xml:space="preserve">”, Editörler: A. Prüss, E. Giroult ve P. Rushbrook, </w:t>
      </w:r>
      <w:hyperlink r:id="rId69" w:history="1">
        <w:r w:rsidRPr="00D6441B">
          <w:rPr>
            <w:rStyle w:val="Hyperlink"/>
            <w:rFonts w:ascii="Times New Roman" w:hAnsi="Times New Roman"/>
            <w:sz w:val="24"/>
            <w:szCs w:val="24"/>
          </w:rPr>
          <w:t>http://www.who.int/water_sanitation_health/medicalwaste/wastemanag/en/index.html</w:t>
        </w:r>
      </w:hyperlink>
      <w:r w:rsidRPr="00D6441B">
        <w:rPr>
          <w:rFonts w:ascii="Times New Roman" w:hAnsi="Times New Roman"/>
          <w:sz w:val="24"/>
          <w:szCs w:val="24"/>
        </w:rPr>
        <w:t>, World Health Organization-WHO, 1999.</w:t>
      </w:r>
    </w:p>
    <w:p w:rsidR="00FB192F" w:rsidRDefault="00FB192F" w:rsidP="001F5FA8">
      <w:pPr>
        <w:pStyle w:val="Standard"/>
        <w:spacing w:before="120" w:after="120" w:line="240" w:lineRule="auto"/>
        <w:jc w:val="both"/>
        <w:rPr>
          <w:rFonts w:cs="Times New Roman"/>
          <w:lang w:val="tr-TR"/>
        </w:rPr>
        <w:sectPr w:rsidR="00FB192F" w:rsidSect="00E230BE">
          <w:type w:val="continuous"/>
          <w:pgSz w:w="11906" w:h="16838"/>
          <w:pgMar w:top="1417" w:right="849" w:bottom="1417" w:left="1134" w:header="708" w:footer="340" w:gutter="0"/>
          <w:cols w:num="2" w:space="708"/>
          <w:docGrid w:linePitch="360"/>
        </w:sectPr>
      </w:pPr>
    </w:p>
    <w:p w:rsidR="001F5FA8" w:rsidRPr="00D6441B" w:rsidRDefault="001F5FA8" w:rsidP="001F5FA8">
      <w:pPr>
        <w:pStyle w:val="Standard"/>
        <w:spacing w:before="120" w:after="120" w:line="240" w:lineRule="auto"/>
        <w:jc w:val="both"/>
        <w:rPr>
          <w:rFonts w:cs="Times New Roman"/>
          <w:lang w:val="tr-TR"/>
        </w:rPr>
      </w:pPr>
    </w:p>
    <w:p w:rsidR="001F5FA8" w:rsidRPr="00D6441B" w:rsidRDefault="001F5FA8" w:rsidP="001F5FA8">
      <w:pPr>
        <w:autoSpaceDE w:val="0"/>
        <w:autoSpaceDN w:val="0"/>
        <w:adjustRightInd w:val="0"/>
        <w:spacing w:before="120" w:after="120" w:line="240" w:lineRule="auto"/>
        <w:jc w:val="both"/>
        <w:rPr>
          <w:rFonts w:ascii="Times New Roman" w:hAnsi="Times New Roman"/>
          <w:sz w:val="24"/>
          <w:szCs w:val="24"/>
          <w:lang w:eastAsia="tr-TR"/>
        </w:rPr>
      </w:pPr>
    </w:p>
    <w:p w:rsidR="00907EDD" w:rsidRDefault="00907EDD">
      <w:r>
        <w:br w:type="page"/>
      </w:r>
    </w:p>
    <w:p w:rsidR="00907EDD" w:rsidRDefault="00907EDD" w:rsidP="00907EDD">
      <w:pPr>
        <w:spacing w:after="0" w:line="240" w:lineRule="auto"/>
        <w:outlineLvl w:val="2"/>
        <w:rPr>
          <w:rFonts w:ascii="Times New Roman" w:hAnsi="Times New Roman"/>
          <w:b/>
          <w:sz w:val="32"/>
          <w:szCs w:val="32"/>
        </w:rPr>
      </w:pPr>
      <w:r>
        <w:rPr>
          <w:rFonts w:ascii="Times New Roman" w:hAnsi="Times New Roman"/>
          <w:b/>
          <w:sz w:val="32"/>
          <w:szCs w:val="32"/>
        </w:rPr>
        <w:lastRenderedPageBreak/>
        <w:t>TOPLANTILAR</w:t>
      </w:r>
    </w:p>
    <w:p w:rsidR="00D55BA2" w:rsidRDefault="00D55BA2">
      <w:pPr>
        <w:rPr>
          <w:rFonts w:ascii="Times New Roman" w:hAnsi="Times New Roman"/>
          <w:b/>
          <w:sz w:val="32"/>
          <w:szCs w:val="32"/>
        </w:rPr>
      </w:pPr>
    </w:p>
    <w:p w:rsidR="00C92C64" w:rsidRDefault="00C92C64" w:rsidP="00C92C64">
      <w:pPr>
        <w:spacing w:after="0" w:line="240" w:lineRule="auto"/>
        <w:rPr>
          <w:rFonts w:ascii="Times New Roman" w:hAnsi="Times New Roman"/>
          <w:sz w:val="24"/>
          <w:szCs w:val="24"/>
        </w:rPr>
        <w:sectPr w:rsidR="00C92C64" w:rsidSect="00E230BE">
          <w:type w:val="continuous"/>
          <w:pgSz w:w="11906" w:h="16838"/>
          <w:pgMar w:top="1417" w:right="849" w:bottom="1417" w:left="1134" w:header="708" w:footer="340" w:gutter="0"/>
          <w:cols w:space="708"/>
          <w:docGrid w:linePitch="360"/>
        </w:sectPr>
      </w:pPr>
    </w:p>
    <w:p w:rsidR="00C92C64" w:rsidRPr="00C92C64" w:rsidRDefault="00C92C64" w:rsidP="00C92C64">
      <w:pPr>
        <w:spacing w:after="0" w:line="240" w:lineRule="auto"/>
        <w:rPr>
          <w:rFonts w:ascii="Times New Roman" w:hAnsi="Times New Roman"/>
          <w:i/>
          <w:sz w:val="24"/>
          <w:szCs w:val="24"/>
        </w:rPr>
      </w:pPr>
      <w:r w:rsidRPr="00C92C64">
        <w:rPr>
          <w:rFonts w:ascii="Times New Roman" w:hAnsi="Times New Roman"/>
          <w:i/>
          <w:sz w:val="24"/>
          <w:szCs w:val="24"/>
        </w:rPr>
        <w:lastRenderedPageBreak/>
        <w:t>11th International Conference on Gas Geochemistry</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29 Nov 2011 → 04 Dec 2011</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La Jolla, San Diego, California, United States</w:t>
      </w:r>
    </w:p>
    <w:p w:rsidR="00C92C64" w:rsidRPr="00C92C64" w:rsidRDefault="00C92C64" w:rsidP="00C92C64">
      <w:pPr>
        <w:spacing w:after="0" w:line="240" w:lineRule="auto"/>
        <w:rPr>
          <w:rFonts w:ascii="Times New Roman" w:hAnsi="Times New Roman"/>
          <w:sz w:val="24"/>
          <w:szCs w:val="24"/>
        </w:rPr>
      </w:pPr>
      <w:hyperlink r:id="rId70" w:history="1">
        <w:r w:rsidRPr="00C92C64">
          <w:rPr>
            <w:rStyle w:val="Hyperlink"/>
            <w:rFonts w:ascii="Times New Roman" w:hAnsi="Times New Roman"/>
            <w:color w:val="auto"/>
            <w:sz w:val="24"/>
            <w:szCs w:val="24"/>
            <w:u w:val="none"/>
          </w:rPr>
          <w:t>http://icgg11.ucsd.edu/</w:t>
        </w:r>
      </w:hyperlink>
    </w:p>
    <w:p w:rsidR="00C92C64" w:rsidRPr="00C92C64" w:rsidRDefault="00C92C64" w:rsidP="00C92C64">
      <w:pPr>
        <w:spacing w:after="0" w:line="240" w:lineRule="auto"/>
        <w:rPr>
          <w:rFonts w:ascii="Times New Roman" w:hAnsi="Times New Roman"/>
          <w:sz w:val="24"/>
          <w:szCs w:val="24"/>
        </w:rPr>
      </w:pPr>
      <w:hyperlink r:id="rId71" w:history="1">
        <w:r w:rsidRPr="00C92C64">
          <w:rPr>
            <w:rStyle w:val="Hyperlink"/>
            <w:rFonts w:ascii="Times New Roman" w:hAnsi="Times New Roman"/>
            <w:color w:val="auto"/>
            <w:sz w:val="24"/>
            <w:szCs w:val="24"/>
            <w:u w:val="none"/>
          </w:rPr>
          <w:t>dstout@ucsd.edu</w:t>
        </w:r>
      </w:hyperlink>
    </w:p>
    <w:p w:rsidR="00C92C64" w:rsidRPr="00C92C64" w:rsidRDefault="00C92C64" w:rsidP="00C92C64">
      <w:pPr>
        <w:spacing w:after="0" w:line="240" w:lineRule="auto"/>
        <w:rPr>
          <w:rFonts w:ascii="Times New Roman" w:hAnsi="Times New Roman"/>
          <w:sz w:val="24"/>
          <w:szCs w:val="24"/>
        </w:rPr>
      </w:pPr>
    </w:p>
    <w:p w:rsidR="00C92C64" w:rsidRPr="00C92C64" w:rsidRDefault="00C92C64" w:rsidP="00C92C64">
      <w:pPr>
        <w:spacing w:after="0" w:line="240" w:lineRule="auto"/>
        <w:rPr>
          <w:rFonts w:ascii="Times New Roman" w:hAnsi="Times New Roman"/>
          <w:i/>
          <w:sz w:val="24"/>
          <w:szCs w:val="24"/>
        </w:rPr>
      </w:pPr>
      <w:r w:rsidRPr="00C92C64">
        <w:rPr>
          <w:rFonts w:ascii="Times New Roman" w:hAnsi="Times New Roman"/>
          <w:i/>
          <w:sz w:val="24"/>
          <w:szCs w:val="24"/>
        </w:rPr>
        <w:t>First International Conference on Environmental Challenges in Arid Regions</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06 Feb 2012 → 08 Feb 2012</w:t>
      </w:r>
      <w:r w:rsidRPr="00C92C64">
        <w:rPr>
          <w:rFonts w:ascii="Times New Roman" w:hAnsi="Times New Roman"/>
          <w:sz w:val="24"/>
          <w:szCs w:val="24"/>
        </w:rPr>
        <w:tab/>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Jeddah, Saudi Arabia</w:t>
      </w:r>
    </w:p>
    <w:p w:rsidR="00C92C64" w:rsidRPr="00C92C64" w:rsidRDefault="00C92C64" w:rsidP="00C92C64">
      <w:pPr>
        <w:spacing w:after="0" w:line="240" w:lineRule="auto"/>
        <w:rPr>
          <w:rFonts w:ascii="Times New Roman" w:hAnsi="Times New Roman"/>
          <w:sz w:val="24"/>
          <w:szCs w:val="24"/>
        </w:rPr>
      </w:pPr>
      <w:hyperlink r:id="rId72" w:history="1">
        <w:r w:rsidRPr="00C92C64">
          <w:rPr>
            <w:rStyle w:val="Hyperlink"/>
            <w:rFonts w:ascii="Times New Roman" w:hAnsi="Times New Roman"/>
            <w:color w:val="auto"/>
            <w:sz w:val="24"/>
            <w:szCs w:val="24"/>
            <w:u w:val="none"/>
          </w:rPr>
          <w:t>http://ecar.kau.edu.sa/Default.aspx?Site_ID=188020&amp;amp;lng=EN</w:t>
        </w:r>
      </w:hyperlink>
    </w:p>
    <w:p w:rsidR="00C92C64" w:rsidRPr="00C92C64" w:rsidRDefault="00C92C64" w:rsidP="00C92C64">
      <w:pPr>
        <w:spacing w:after="0" w:line="240" w:lineRule="auto"/>
        <w:rPr>
          <w:rFonts w:ascii="Times New Roman" w:hAnsi="Times New Roman"/>
          <w:sz w:val="24"/>
          <w:szCs w:val="24"/>
        </w:rPr>
      </w:pPr>
    </w:p>
    <w:p w:rsidR="00C92C64" w:rsidRPr="00C92C64" w:rsidRDefault="00C92C64" w:rsidP="00C92C64">
      <w:pPr>
        <w:spacing w:after="0" w:line="240" w:lineRule="auto"/>
        <w:rPr>
          <w:rFonts w:ascii="Times New Roman" w:hAnsi="Times New Roman"/>
          <w:i/>
          <w:sz w:val="24"/>
          <w:szCs w:val="24"/>
        </w:rPr>
      </w:pPr>
      <w:r w:rsidRPr="00C92C64">
        <w:rPr>
          <w:rFonts w:ascii="Times New Roman" w:hAnsi="Times New Roman"/>
          <w:i/>
          <w:sz w:val="24"/>
          <w:szCs w:val="24"/>
        </w:rPr>
        <w:t>EMPG XI — 14th Experimental Mineralogy, Petrology and Geochemistry Conference</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04 Mar 2012 → 07 Mar 2012</w:t>
      </w:r>
      <w:r w:rsidRPr="00C92C64">
        <w:rPr>
          <w:rFonts w:ascii="Times New Roman" w:hAnsi="Times New Roman"/>
          <w:sz w:val="24"/>
          <w:szCs w:val="24"/>
        </w:rPr>
        <w:tab/>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Kiel, Germany</w:t>
      </w:r>
    </w:p>
    <w:p w:rsidR="00C92C64" w:rsidRPr="00C92C64" w:rsidRDefault="00C92C64" w:rsidP="00C92C64">
      <w:pPr>
        <w:spacing w:after="0" w:line="240" w:lineRule="auto"/>
        <w:rPr>
          <w:rFonts w:ascii="Times New Roman" w:hAnsi="Times New Roman"/>
          <w:sz w:val="24"/>
          <w:szCs w:val="24"/>
        </w:rPr>
      </w:pPr>
      <w:hyperlink r:id="rId73" w:history="1">
        <w:r w:rsidRPr="00C92C64">
          <w:rPr>
            <w:rStyle w:val="Hyperlink"/>
            <w:rFonts w:ascii="Times New Roman" w:hAnsi="Times New Roman"/>
            <w:color w:val="auto"/>
            <w:sz w:val="24"/>
            <w:szCs w:val="24"/>
            <w:u w:val="none"/>
          </w:rPr>
          <w:t>http://www.empg2012.uni-kiel.de/</w:t>
        </w:r>
      </w:hyperlink>
    </w:p>
    <w:p w:rsidR="00C92C64" w:rsidRPr="00C92C64" w:rsidRDefault="00C92C64" w:rsidP="00C92C64">
      <w:pPr>
        <w:spacing w:after="0" w:line="240" w:lineRule="auto"/>
        <w:rPr>
          <w:rFonts w:ascii="Times New Roman" w:hAnsi="Times New Roman"/>
          <w:sz w:val="24"/>
          <w:szCs w:val="24"/>
        </w:rPr>
      </w:pPr>
    </w:p>
    <w:p w:rsidR="00C92C64" w:rsidRPr="00C92C64" w:rsidRDefault="00C92C64" w:rsidP="00C92C64">
      <w:pPr>
        <w:spacing w:after="0" w:line="240" w:lineRule="auto"/>
        <w:rPr>
          <w:rFonts w:ascii="Times New Roman" w:hAnsi="Times New Roman"/>
          <w:i/>
          <w:sz w:val="24"/>
          <w:szCs w:val="24"/>
        </w:rPr>
      </w:pPr>
      <w:r w:rsidRPr="00C92C64">
        <w:rPr>
          <w:rFonts w:ascii="Times New Roman" w:hAnsi="Times New Roman"/>
          <w:i/>
          <w:sz w:val="24"/>
          <w:szCs w:val="24"/>
        </w:rPr>
        <w:t>ACS12 — Spring 2012 ACS Meeting - Symposium on Computational Chemistry for Geochemistry</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25 Mar 2012 → 29 Mar 2012</w:t>
      </w:r>
      <w:r w:rsidRPr="00C92C64">
        <w:rPr>
          <w:rFonts w:ascii="Times New Roman" w:hAnsi="Times New Roman"/>
          <w:sz w:val="24"/>
          <w:szCs w:val="24"/>
        </w:rPr>
        <w:tab/>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San Diego, California, United States</w:t>
      </w:r>
    </w:p>
    <w:p w:rsidR="00C92C64" w:rsidRPr="00C92C64" w:rsidRDefault="00C92C64" w:rsidP="00C92C64">
      <w:pPr>
        <w:spacing w:after="0" w:line="240" w:lineRule="auto"/>
        <w:rPr>
          <w:rFonts w:ascii="Times New Roman" w:hAnsi="Times New Roman"/>
          <w:sz w:val="24"/>
          <w:szCs w:val="24"/>
        </w:rPr>
      </w:pPr>
      <w:hyperlink r:id="rId74" w:history="1">
        <w:r w:rsidRPr="00C92C64">
          <w:rPr>
            <w:rStyle w:val="Hyperlink"/>
            <w:rFonts w:ascii="Times New Roman" w:hAnsi="Times New Roman"/>
            <w:color w:val="auto"/>
            <w:sz w:val="24"/>
            <w:szCs w:val="24"/>
            <w:u w:val="none"/>
          </w:rPr>
          <w:t>http://abstracts.acs.org/chem/243nm/meetingview.php?page=session&amp;par_id=359</w:t>
        </w:r>
      </w:hyperlink>
    </w:p>
    <w:p w:rsidR="00C92C64" w:rsidRPr="00C92C64" w:rsidRDefault="00C92C64" w:rsidP="00C92C64">
      <w:pPr>
        <w:spacing w:after="0" w:line="240" w:lineRule="auto"/>
        <w:rPr>
          <w:rFonts w:ascii="Times New Roman" w:hAnsi="Times New Roman"/>
          <w:sz w:val="24"/>
          <w:szCs w:val="24"/>
        </w:rPr>
      </w:pPr>
    </w:p>
    <w:p w:rsidR="00C92C64" w:rsidRPr="00C92C64" w:rsidRDefault="00C92C64" w:rsidP="00C92C64">
      <w:pPr>
        <w:spacing w:after="0" w:line="240" w:lineRule="auto"/>
        <w:rPr>
          <w:rFonts w:ascii="Times New Roman" w:hAnsi="Times New Roman"/>
          <w:i/>
          <w:sz w:val="24"/>
          <w:szCs w:val="24"/>
        </w:rPr>
      </w:pPr>
      <w:r w:rsidRPr="00C92C64">
        <w:rPr>
          <w:rFonts w:ascii="Times New Roman" w:hAnsi="Times New Roman"/>
          <w:i/>
          <w:sz w:val="24"/>
          <w:szCs w:val="24"/>
        </w:rPr>
        <w:t>Environmental Science and Technology</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28 May 2012 → 01 Jun 2012</w:t>
      </w:r>
      <w:r w:rsidRPr="00C92C64">
        <w:rPr>
          <w:rFonts w:ascii="Times New Roman" w:hAnsi="Times New Roman"/>
          <w:sz w:val="24"/>
          <w:szCs w:val="24"/>
        </w:rPr>
        <w:tab/>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Mar del Plata, Argentina</w:t>
      </w:r>
    </w:p>
    <w:p w:rsidR="00C92C64" w:rsidRPr="00C92C64" w:rsidRDefault="00C92C64" w:rsidP="00C92C64">
      <w:pPr>
        <w:spacing w:after="0" w:line="240" w:lineRule="auto"/>
        <w:rPr>
          <w:rFonts w:ascii="Times New Roman" w:hAnsi="Times New Roman"/>
          <w:sz w:val="24"/>
          <w:szCs w:val="24"/>
        </w:rPr>
      </w:pPr>
      <w:hyperlink r:id="rId75" w:history="1">
        <w:r w:rsidRPr="00C92C64">
          <w:rPr>
            <w:rStyle w:val="Hyperlink"/>
            <w:rFonts w:ascii="Times New Roman" w:hAnsi="Times New Roman"/>
            <w:color w:val="auto"/>
            <w:sz w:val="24"/>
            <w:szCs w:val="24"/>
            <w:u w:val="none"/>
          </w:rPr>
          <w:t>http://www.argentina-ambiental.com.ar/</w:t>
        </w:r>
      </w:hyperlink>
    </w:p>
    <w:p w:rsidR="00C92C64" w:rsidRPr="00C92C64" w:rsidRDefault="00C92C64" w:rsidP="00C92C64">
      <w:pPr>
        <w:spacing w:after="0" w:line="240" w:lineRule="auto"/>
        <w:rPr>
          <w:rFonts w:ascii="Times New Roman" w:hAnsi="Times New Roman"/>
          <w:sz w:val="24"/>
          <w:szCs w:val="24"/>
        </w:rPr>
      </w:pPr>
    </w:p>
    <w:p w:rsidR="00C92C64" w:rsidRPr="00C92C64" w:rsidRDefault="00C92C64" w:rsidP="00C92C64">
      <w:pPr>
        <w:spacing w:after="0" w:line="240" w:lineRule="auto"/>
        <w:rPr>
          <w:rFonts w:ascii="Times New Roman" w:hAnsi="Times New Roman"/>
          <w:i/>
          <w:sz w:val="24"/>
          <w:szCs w:val="24"/>
        </w:rPr>
      </w:pPr>
      <w:r w:rsidRPr="00C92C64">
        <w:rPr>
          <w:rFonts w:ascii="Times New Roman" w:hAnsi="Times New Roman"/>
          <w:i/>
          <w:sz w:val="24"/>
          <w:szCs w:val="24"/>
        </w:rPr>
        <w:t>Goldschmidt 2012</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lastRenderedPageBreak/>
        <w:t>24 Jun 2012 → 29 Jun 2012</w:t>
      </w:r>
      <w:r w:rsidRPr="00C92C64">
        <w:rPr>
          <w:rFonts w:ascii="Times New Roman" w:hAnsi="Times New Roman"/>
          <w:sz w:val="24"/>
          <w:szCs w:val="24"/>
        </w:rPr>
        <w:tab/>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Montréal, Canada</w:t>
      </w:r>
    </w:p>
    <w:p w:rsidR="00C92C64" w:rsidRPr="00C92C64" w:rsidRDefault="00C92C64" w:rsidP="00C92C64">
      <w:pPr>
        <w:spacing w:after="0" w:line="240" w:lineRule="auto"/>
        <w:rPr>
          <w:rFonts w:ascii="Times New Roman" w:hAnsi="Times New Roman"/>
          <w:sz w:val="24"/>
          <w:szCs w:val="24"/>
        </w:rPr>
      </w:pPr>
      <w:hyperlink r:id="rId76" w:history="1">
        <w:r w:rsidRPr="00C92C64">
          <w:rPr>
            <w:rStyle w:val="Hyperlink"/>
            <w:rFonts w:ascii="Times New Roman" w:hAnsi="Times New Roman"/>
            <w:color w:val="auto"/>
            <w:sz w:val="24"/>
            <w:szCs w:val="24"/>
            <w:u w:val="none"/>
          </w:rPr>
          <w:t>http://www.goldschmidt2012.org/</w:t>
        </w:r>
      </w:hyperlink>
    </w:p>
    <w:p w:rsidR="00C92C64" w:rsidRPr="00C92C64" w:rsidRDefault="00C92C64" w:rsidP="00C92C64">
      <w:pPr>
        <w:spacing w:after="0" w:line="240" w:lineRule="auto"/>
        <w:rPr>
          <w:rFonts w:ascii="Times New Roman" w:hAnsi="Times New Roman"/>
          <w:sz w:val="24"/>
          <w:szCs w:val="24"/>
        </w:rPr>
      </w:pPr>
    </w:p>
    <w:p w:rsidR="00C92C64" w:rsidRPr="00C92C64" w:rsidRDefault="00C92C64" w:rsidP="00C92C64">
      <w:pPr>
        <w:spacing w:after="0" w:line="240" w:lineRule="auto"/>
        <w:rPr>
          <w:rFonts w:ascii="Times New Roman" w:hAnsi="Times New Roman"/>
          <w:i/>
          <w:sz w:val="24"/>
          <w:szCs w:val="24"/>
        </w:rPr>
      </w:pPr>
      <w:r w:rsidRPr="00C92C64">
        <w:rPr>
          <w:rFonts w:ascii="Times New Roman" w:hAnsi="Times New Roman"/>
          <w:i/>
          <w:sz w:val="24"/>
          <w:szCs w:val="24"/>
        </w:rPr>
        <w:t>ICEPR 2012 — 2nd International Conference on Environmental Pollution and Remediation</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28 Aug 2012 → 30 Aug 2012</w:t>
      </w:r>
      <w:r w:rsidRPr="00C92C64">
        <w:rPr>
          <w:rFonts w:ascii="Times New Roman" w:hAnsi="Times New Roman"/>
          <w:sz w:val="24"/>
          <w:szCs w:val="24"/>
        </w:rPr>
        <w:tab/>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Montreal, Canada</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http://icepr2012.international-aset.com/</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 xml:space="preserve">Dr. Leila Bidmeshki; Phone: (001-613-695-3040); Email: </w:t>
      </w:r>
      <w:hyperlink r:id="rId77" w:history="1">
        <w:r w:rsidRPr="00C92C64">
          <w:rPr>
            <w:rStyle w:val="Hyperlink"/>
            <w:rFonts w:ascii="Times New Roman" w:hAnsi="Times New Roman"/>
            <w:color w:val="auto"/>
            <w:sz w:val="24"/>
            <w:szCs w:val="24"/>
            <w:u w:val="none"/>
          </w:rPr>
          <w:t>icepr2012@international-aset.com</w:t>
        </w:r>
      </w:hyperlink>
    </w:p>
    <w:p w:rsidR="00C92C64" w:rsidRPr="00C92C64" w:rsidRDefault="00C92C64" w:rsidP="00C92C64">
      <w:pPr>
        <w:spacing w:after="0" w:line="240" w:lineRule="auto"/>
        <w:rPr>
          <w:rFonts w:ascii="Times New Roman" w:hAnsi="Times New Roman"/>
          <w:sz w:val="24"/>
          <w:szCs w:val="24"/>
        </w:rPr>
      </w:pPr>
    </w:p>
    <w:p w:rsidR="00C92C64" w:rsidRPr="00C92C64" w:rsidRDefault="00C92C64" w:rsidP="00C92C64">
      <w:pPr>
        <w:spacing w:after="0" w:line="240" w:lineRule="auto"/>
        <w:rPr>
          <w:rFonts w:ascii="Times New Roman" w:hAnsi="Times New Roman"/>
          <w:i/>
          <w:sz w:val="24"/>
          <w:szCs w:val="24"/>
        </w:rPr>
      </w:pPr>
      <w:r w:rsidRPr="00C92C64">
        <w:rPr>
          <w:rFonts w:ascii="Times New Roman" w:hAnsi="Times New Roman"/>
          <w:i/>
          <w:sz w:val="24"/>
          <w:szCs w:val="24"/>
        </w:rPr>
        <w:t>ICEC 2012 — 7th edition of the International Conference on Environmental Catalysis</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02 Sep 2012 → 06 Sep 2012</w:t>
      </w:r>
      <w:r w:rsidRPr="00C92C64">
        <w:rPr>
          <w:rFonts w:ascii="Times New Roman" w:hAnsi="Times New Roman"/>
          <w:sz w:val="24"/>
          <w:szCs w:val="24"/>
        </w:rPr>
        <w:tab/>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Lyon, France</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http://www.icec2012.fr/</w:t>
      </w:r>
    </w:p>
    <w:p w:rsidR="00C92C64" w:rsidRPr="00C92C64" w:rsidRDefault="00C92C64" w:rsidP="00C92C64">
      <w:pPr>
        <w:spacing w:after="0" w:line="240" w:lineRule="auto"/>
        <w:rPr>
          <w:rFonts w:ascii="Times New Roman" w:hAnsi="Times New Roman"/>
          <w:sz w:val="24"/>
          <w:szCs w:val="24"/>
        </w:rPr>
      </w:pPr>
    </w:p>
    <w:p w:rsidR="00C92C64" w:rsidRPr="00C92C64" w:rsidRDefault="00C92C64" w:rsidP="00C92C64">
      <w:pPr>
        <w:spacing w:after="0" w:line="240" w:lineRule="auto"/>
        <w:rPr>
          <w:rFonts w:ascii="Times New Roman" w:hAnsi="Times New Roman"/>
          <w:i/>
          <w:sz w:val="24"/>
          <w:szCs w:val="24"/>
        </w:rPr>
      </w:pPr>
      <w:r w:rsidRPr="00C92C64">
        <w:rPr>
          <w:rFonts w:ascii="Times New Roman" w:hAnsi="Times New Roman"/>
          <w:i/>
          <w:sz w:val="24"/>
          <w:szCs w:val="24"/>
        </w:rPr>
        <w:t>Aboveground-belowground interactions: technologies and new approaches</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08 Oct 2012 → 10 Oct 2012</w:t>
      </w:r>
      <w:r w:rsidRPr="00C92C64">
        <w:rPr>
          <w:rFonts w:ascii="Times New Roman" w:hAnsi="Times New Roman"/>
          <w:sz w:val="24"/>
          <w:szCs w:val="24"/>
        </w:rPr>
        <w:tab/>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Charles Darwin House, London, United Kingdom</w:t>
      </w:r>
    </w:p>
    <w:p w:rsidR="00C92C64" w:rsidRPr="00C92C64" w:rsidRDefault="00C92C64" w:rsidP="00C92C64">
      <w:pPr>
        <w:spacing w:after="0" w:line="240" w:lineRule="auto"/>
        <w:rPr>
          <w:rFonts w:ascii="Times New Roman" w:hAnsi="Times New Roman"/>
          <w:sz w:val="24"/>
          <w:szCs w:val="24"/>
        </w:rPr>
      </w:pPr>
      <w:hyperlink r:id="rId78" w:history="1">
        <w:r w:rsidRPr="00C92C64">
          <w:rPr>
            <w:rStyle w:val="Hyperlink"/>
            <w:rFonts w:ascii="Times New Roman" w:hAnsi="Times New Roman"/>
            <w:color w:val="auto"/>
            <w:sz w:val="24"/>
            <w:szCs w:val="24"/>
            <w:u w:val="none"/>
          </w:rPr>
          <w:t>http://www.biochemistry.org/Conferences/AllConferences/tabid/379/View/Conference/MeetingNo/BSB002/Default.aspx</w:t>
        </w:r>
      </w:hyperlink>
    </w:p>
    <w:p w:rsidR="00C92C64" w:rsidRPr="00C92C64" w:rsidRDefault="00C92C64" w:rsidP="00C92C64">
      <w:pPr>
        <w:spacing w:after="0" w:line="240" w:lineRule="auto"/>
        <w:rPr>
          <w:rFonts w:ascii="Times New Roman" w:hAnsi="Times New Roman"/>
          <w:sz w:val="24"/>
          <w:szCs w:val="24"/>
        </w:rPr>
      </w:pPr>
    </w:p>
    <w:p w:rsidR="00C92C64" w:rsidRPr="00C92C64" w:rsidRDefault="00C92C64" w:rsidP="00C92C64">
      <w:pPr>
        <w:spacing w:after="0" w:line="240" w:lineRule="auto"/>
        <w:rPr>
          <w:rFonts w:ascii="Times New Roman" w:hAnsi="Times New Roman"/>
          <w:i/>
          <w:sz w:val="24"/>
          <w:szCs w:val="24"/>
        </w:rPr>
      </w:pPr>
      <w:r w:rsidRPr="00C92C64">
        <w:rPr>
          <w:rFonts w:ascii="Times New Roman" w:hAnsi="Times New Roman"/>
          <w:i/>
          <w:sz w:val="24"/>
          <w:szCs w:val="24"/>
        </w:rPr>
        <w:t>WCEC5 — Water Contamination Emergencies conference: managing the threats</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19 Nov 2012 → 21 Nov 2012</w:t>
      </w:r>
      <w:r w:rsidRPr="00C92C64">
        <w:rPr>
          <w:rFonts w:ascii="Times New Roman" w:hAnsi="Times New Roman"/>
          <w:sz w:val="24"/>
          <w:szCs w:val="24"/>
        </w:rPr>
        <w:tab/>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Muelheim an der Ruhr, Germany</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http://www.WCEC5.eu</w:t>
      </w:r>
    </w:p>
    <w:p w:rsidR="00C92C64" w:rsidRPr="00C92C64" w:rsidRDefault="00C92C64" w:rsidP="00C92C64">
      <w:pPr>
        <w:spacing w:after="0" w:line="240" w:lineRule="auto"/>
        <w:rPr>
          <w:rFonts w:ascii="Times New Roman" w:hAnsi="Times New Roman"/>
          <w:sz w:val="24"/>
          <w:szCs w:val="24"/>
        </w:rPr>
      </w:pPr>
      <w:r w:rsidRPr="00C92C64">
        <w:rPr>
          <w:rFonts w:ascii="Times New Roman" w:hAnsi="Times New Roman"/>
          <w:sz w:val="24"/>
          <w:szCs w:val="24"/>
        </w:rPr>
        <w:t>Email: maggi@wcec5.eu</w:t>
      </w:r>
    </w:p>
    <w:p w:rsidR="00C92C64" w:rsidRPr="00C92C64" w:rsidRDefault="00C92C64">
      <w:pPr>
        <w:rPr>
          <w:rFonts w:ascii="Times New Roman" w:hAnsi="Times New Roman"/>
          <w:b/>
          <w:sz w:val="32"/>
          <w:szCs w:val="32"/>
        </w:rPr>
        <w:sectPr w:rsidR="00C92C64" w:rsidRPr="00C92C64" w:rsidSect="00C92C64">
          <w:type w:val="continuous"/>
          <w:pgSz w:w="11906" w:h="16838"/>
          <w:pgMar w:top="1417" w:right="849" w:bottom="1417" w:left="1134" w:header="708" w:footer="340" w:gutter="0"/>
          <w:cols w:num="2" w:space="708"/>
          <w:docGrid w:linePitch="360"/>
        </w:sectPr>
      </w:pPr>
    </w:p>
    <w:p w:rsidR="00D55BA2" w:rsidRDefault="00D55BA2">
      <w:pPr>
        <w:rPr>
          <w:rFonts w:ascii="Times New Roman" w:hAnsi="Times New Roman"/>
          <w:b/>
          <w:sz w:val="32"/>
          <w:szCs w:val="32"/>
        </w:rPr>
      </w:pPr>
      <w:r>
        <w:rPr>
          <w:rFonts w:ascii="Times New Roman" w:hAnsi="Times New Roman"/>
          <w:b/>
          <w:sz w:val="32"/>
          <w:szCs w:val="32"/>
        </w:rPr>
        <w:lastRenderedPageBreak/>
        <w:br w:type="page"/>
      </w:r>
    </w:p>
    <w:p w:rsidR="00D55BA2" w:rsidRDefault="00D55BA2">
      <w:pPr>
        <w:rPr>
          <w:rFonts w:ascii="Times New Roman" w:hAnsi="Times New Roman"/>
          <w:b/>
          <w:sz w:val="32"/>
          <w:szCs w:val="32"/>
        </w:rPr>
      </w:pPr>
      <w:r>
        <w:rPr>
          <w:rFonts w:ascii="Times New Roman" w:hAnsi="Times New Roman"/>
          <w:b/>
          <w:sz w:val="32"/>
          <w:szCs w:val="32"/>
        </w:rPr>
        <w:lastRenderedPageBreak/>
        <w:t>YAYINLAR</w:t>
      </w:r>
    </w:p>
    <w:p w:rsidR="00D55BA2" w:rsidRDefault="00D55BA2" w:rsidP="00D55BA2">
      <w:pPr>
        <w:shd w:val="clear" w:color="auto" w:fill="FFFFFF"/>
        <w:spacing w:after="0" w:line="315" w:lineRule="atLeast"/>
        <w:outlineLvl w:val="0"/>
        <w:rPr>
          <w:rFonts w:ascii="Times New Roman" w:hAnsi="Times New Roman"/>
          <w:bCs/>
          <w:i/>
          <w:color w:val="000000"/>
          <w:spacing w:val="15"/>
          <w:kern w:val="36"/>
          <w:sz w:val="24"/>
          <w:szCs w:val="24"/>
          <w:lang w:eastAsia="tr-TR"/>
        </w:rPr>
        <w:sectPr w:rsidR="00D55BA2" w:rsidSect="00E230BE">
          <w:type w:val="continuous"/>
          <w:pgSz w:w="11906" w:h="16838"/>
          <w:pgMar w:top="1417" w:right="849" w:bottom="1417" w:left="1134" w:header="708" w:footer="340" w:gutter="0"/>
          <w:cols w:space="708"/>
          <w:docGrid w:linePitch="360"/>
        </w:sectPr>
      </w:pPr>
    </w:p>
    <w:p w:rsidR="00D55BA2" w:rsidRPr="00D55BA2" w:rsidRDefault="00D55BA2" w:rsidP="008F732C">
      <w:pPr>
        <w:shd w:val="clear" w:color="auto" w:fill="FFFFFF"/>
        <w:spacing w:after="0" w:line="240" w:lineRule="auto"/>
        <w:contextualSpacing/>
        <w:outlineLvl w:val="0"/>
        <w:rPr>
          <w:rFonts w:ascii="Times New Roman" w:hAnsi="Times New Roman"/>
          <w:bCs/>
          <w:i/>
          <w:color w:val="000000"/>
          <w:spacing w:val="15"/>
          <w:kern w:val="36"/>
          <w:sz w:val="24"/>
          <w:szCs w:val="24"/>
          <w:lang w:eastAsia="tr-TR"/>
        </w:rPr>
      </w:pPr>
      <w:r w:rsidRPr="00D55BA2">
        <w:rPr>
          <w:rFonts w:ascii="Times New Roman" w:hAnsi="Times New Roman"/>
          <w:bCs/>
          <w:i/>
          <w:color w:val="000000"/>
          <w:spacing w:val="15"/>
          <w:kern w:val="36"/>
          <w:sz w:val="24"/>
          <w:szCs w:val="24"/>
          <w:lang w:eastAsia="tr-TR"/>
        </w:rPr>
        <w:lastRenderedPageBreak/>
        <w:t>Climate Capitalism: Capitalism in the Age of Climate Change</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L. Hunter Lovins &amp; Boyd Cohen (2011)</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Hill and Wang</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p>
    <w:p w:rsidR="00D55BA2" w:rsidRPr="00D55BA2" w:rsidRDefault="00D55BA2" w:rsidP="008F732C">
      <w:pPr>
        <w:shd w:val="clear" w:color="auto" w:fill="FFFFFF"/>
        <w:spacing w:after="0" w:line="240" w:lineRule="auto"/>
        <w:contextualSpacing/>
        <w:outlineLvl w:val="0"/>
        <w:rPr>
          <w:rFonts w:ascii="Times New Roman" w:hAnsi="Times New Roman"/>
          <w:bCs/>
          <w:i/>
          <w:color w:val="000000"/>
          <w:spacing w:val="15"/>
          <w:kern w:val="36"/>
          <w:sz w:val="24"/>
          <w:szCs w:val="24"/>
          <w:lang w:eastAsia="tr-TR"/>
        </w:rPr>
      </w:pPr>
      <w:r w:rsidRPr="00D55BA2">
        <w:rPr>
          <w:rFonts w:ascii="Times New Roman" w:hAnsi="Times New Roman"/>
          <w:bCs/>
          <w:i/>
          <w:color w:val="000000"/>
          <w:spacing w:val="15"/>
          <w:kern w:val="36"/>
          <w:sz w:val="24"/>
          <w:szCs w:val="24"/>
          <w:lang w:eastAsia="tr-TR"/>
        </w:rPr>
        <w:t>Contesting the Future of Nuclear Power: A Critical Global Assessment of Atomic Energy</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Benjamin K. Sovacool (2011)</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World Scientific</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p>
    <w:p w:rsidR="00D55BA2" w:rsidRPr="00D55BA2" w:rsidRDefault="00D55BA2" w:rsidP="008F732C">
      <w:pPr>
        <w:shd w:val="clear" w:color="auto" w:fill="FFFFFF"/>
        <w:spacing w:after="0" w:line="240" w:lineRule="auto"/>
        <w:contextualSpacing/>
        <w:outlineLvl w:val="0"/>
        <w:rPr>
          <w:rFonts w:ascii="Times New Roman" w:hAnsi="Times New Roman"/>
          <w:bCs/>
          <w:i/>
          <w:color w:val="000000"/>
          <w:spacing w:val="15"/>
          <w:kern w:val="36"/>
          <w:sz w:val="24"/>
          <w:szCs w:val="24"/>
          <w:lang w:eastAsia="tr-TR"/>
        </w:rPr>
      </w:pPr>
      <w:r w:rsidRPr="00D55BA2">
        <w:rPr>
          <w:rFonts w:ascii="Times New Roman" w:hAnsi="Times New Roman"/>
          <w:bCs/>
          <w:i/>
          <w:color w:val="000000"/>
          <w:spacing w:val="15"/>
          <w:kern w:val="36"/>
          <w:sz w:val="24"/>
          <w:szCs w:val="24"/>
          <w:lang w:eastAsia="tr-TR"/>
        </w:rPr>
        <w:t>Eaarth: Making a Life on a Tough New Planet</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Bill McKibben(2010)</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Henry Holt and Company</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p>
    <w:p w:rsidR="00D55BA2" w:rsidRPr="00D55BA2" w:rsidRDefault="00D55BA2" w:rsidP="008F732C">
      <w:pPr>
        <w:shd w:val="clear" w:color="auto" w:fill="FFFFFF"/>
        <w:spacing w:after="0" w:line="240" w:lineRule="auto"/>
        <w:contextualSpacing/>
        <w:outlineLvl w:val="0"/>
        <w:rPr>
          <w:rFonts w:ascii="Times New Roman" w:hAnsi="Times New Roman"/>
          <w:bCs/>
          <w:i/>
          <w:color w:val="000000"/>
          <w:spacing w:val="15"/>
          <w:kern w:val="36"/>
          <w:sz w:val="24"/>
          <w:szCs w:val="24"/>
          <w:lang w:eastAsia="tr-TR"/>
        </w:rPr>
      </w:pPr>
      <w:r w:rsidRPr="00D55BA2">
        <w:rPr>
          <w:rFonts w:ascii="Times New Roman" w:hAnsi="Times New Roman"/>
          <w:bCs/>
          <w:i/>
          <w:color w:val="000000"/>
          <w:spacing w:val="15"/>
          <w:kern w:val="36"/>
          <w:sz w:val="24"/>
          <w:szCs w:val="24"/>
          <w:lang w:eastAsia="tr-TR"/>
        </w:rPr>
        <w:t>Power Hungry: The Myths of "Green" Energy and the Real Fuels of the Future</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Robert Bryce (2010)</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PublicAffairs</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p>
    <w:p w:rsidR="00D55BA2" w:rsidRPr="00D55BA2" w:rsidRDefault="00D55BA2" w:rsidP="008F732C">
      <w:pPr>
        <w:shd w:val="clear" w:color="auto" w:fill="FFFFFF"/>
        <w:spacing w:after="0" w:line="240" w:lineRule="auto"/>
        <w:contextualSpacing/>
        <w:outlineLvl w:val="0"/>
        <w:rPr>
          <w:rFonts w:ascii="Times New Roman" w:hAnsi="Times New Roman"/>
          <w:bCs/>
          <w:i/>
          <w:color w:val="000000"/>
          <w:spacing w:val="15"/>
          <w:kern w:val="36"/>
          <w:sz w:val="24"/>
          <w:szCs w:val="24"/>
          <w:lang w:eastAsia="tr-TR"/>
        </w:rPr>
      </w:pPr>
      <w:r w:rsidRPr="00D55BA2">
        <w:rPr>
          <w:rFonts w:ascii="Times New Roman" w:hAnsi="Times New Roman"/>
          <w:bCs/>
          <w:i/>
          <w:color w:val="000000"/>
          <w:spacing w:val="15"/>
          <w:kern w:val="36"/>
          <w:sz w:val="24"/>
          <w:szCs w:val="24"/>
          <w:lang w:eastAsia="tr-TR"/>
        </w:rPr>
        <w:t>Requiem for a Species: Why We Resist the Truth about Climate Change</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Clive Hamilton(2010)</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Earthscan</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p>
    <w:p w:rsidR="00D55BA2" w:rsidRPr="00D55BA2" w:rsidRDefault="00D55BA2" w:rsidP="008F732C">
      <w:pPr>
        <w:shd w:val="clear" w:color="auto" w:fill="FFFFFF"/>
        <w:spacing w:after="0" w:line="240" w:lineRule="auto"/>
        <w:contextualSpacing/>
        <w:outlineLvl w:val="0"/>
        <w:rPr>
          <w:rFonts w:ascii="Times New Roman" w:hAnsi="Times New Roman"/>
          <w:bCs/>
          <w:i/>
          <w:color w:val="000000"/>
          <w:spacing w:val="15"/>
          <w:kern w:val="36"/>
          <w:sz w:val="24"/>
          <w:szCs w:val="24"/>
          <w:lang w:eastAsia="tr-TR"/>
        </w:rPr>
      </w:pPr>
      <w:r w:rsidRPr="00D55BA2">
        <w:rPr>
          <w:rFonts w:ascii="Times New Roman" w:hAnsi="Times New Roman"/>
          <w:bCs/>
          <w:i/>
          <w:color w:val="000000"/>
          <w:spacing w:val="15"/>
          <w:kern w:val="36"/>
          <w:sz w:val="24"/>
          <w:szCs w:val="24"/>
          <w:lang w:eastAsia="tr-TR"/>
        </w:rPr>
        <w:t>Straight Up: America's Fiercest Climate Blogger Takes on the Status Quo Media, Politicians, and Clean Energy Solutions</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Joseph J. Romm (2010)</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Island Press</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p>
    <w:p w:rsidR="00D55BA2" w:rsidRPr="00D55BA2" w:rsidRDefault="00D55BA2" w:rsidP="008F732C">
      <w:pPr>
        <w:shd w:val="clear" w:color="auto" w:fill="FFFFFF"/>
        <w:spacing w:after="0" w:line="240" w:lineRule="auto"/>
        <w:contextualSpacing/>
        <w:outlineLvl w:val="0"/>
        <w:rPr>
          <w:rFonts w:ascii="Times New Roman" w:hAnsi="Times New Roman"/>
          <w:bCs/>
          <w:i/>
          <w:color w:val="000000"/>
          <w:spacing w:val="15"/>
          <w:kern w:val="36"/>
          <w:sz w:val="24"/>
          <w:szCs w:val="24"/>
          <w:lang w:eastAsia="tr-TR"/>
        </w:rPr>
      </w:pPr>
      <w:r w:rsidRPr="00D55BA2">
        <w:rPr>
          <w:rFonts w:ascii="Times New Roman" w:hAnsi="Times New Roman"/>
          <w:bCs/>
          <w:i/>
          <w:color w:val="000000"/>
          <w:spacing w:val="15"/>
          <w:kern w:val="36"/>
          <w:sz w:val="24"/>
          <w:szCs w:val="24"/>
          <w:lang w:eastAsia="tr-TR"/>
        </w:rPr>
        <w:t>The Weather of the Future: Heat Waves, Extreme Storms, and Other Scenes From a Climate-Changed Planet</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r w:rsidRPr="00D55BA2">
        <w:rPr>
          <w:rFonts w:ascii="Times New Roman" w:hAnsi="Times New Roman"/>
          <w:bCs/>
          <w:color w:val="000000"/>
          <w:spacing w:val="15"/>
          <w:kern w:val="36"/>
          <w:sz w:val="24"/>
          <w:szCs w:val="24"/>
          <w:lang w:eastAsia="tr-TR"/>
        </w:rPr>
        <w:t>Heidi Cullen (2010)</w:t>
      </w:r>
    </w:p>
    <w:p w:rsidR="00D55BA2" w:rsidRPr="00D55BA2" w:rsidRDefault="00D55BA2" w:rsidP="008F732C">
      <w:pPr>
        <w:shd w:val="clear" w:color="auto" w:fill="FFFFFF"/>
        <w:spacing w:after="0" w:line="240" w:lineRule="auto"/>
        <w:contextualSpacing/>
        <w:outlineLvl w:val="0"/>
        <w:rPr>
          <w:rFonts w:ascii="Times New Roman" w:hAnsi="Times New Roman"/>
          <w:bCs/>
          <w:i/>
          <w:color w:val="000000"/>
          <w:spacing w:val="15"/>
          <w:kern w:val="36"/>
          <w:sz w:val="24"/>
          <w:szCs w:val="24"/>
          <w:lang w:eastAsia="tr-TR"/>
        </w:rPr>
      </w:pPr>
    </w:p>
    <w:p w:rsidR="00D55BA2" w:rsidRPr="00D55BA2" w:rsidRDefault="00D55BA2" w:rsidP="008F732C">
      <w:pPr>
        <w:shd w:val="clear" w:color="auto" w:fill="FFFFFF"/>
        <w:spacing w:after="0" w:line="240" w:lineRule="auto"/>
        <w:contextualSpacing/>
        <w:outlineLvl w:val="0"/>
        <w:rPr>
          <w:rFonts w:ascii="Times New Roman" w:hAnsi="Times New Roman"/>
          <w:bCs/>
          <w:i/>
          <w:color w:val="000000"/>
          <w:spacing w:val="15"/>
          <w:kern w:val="36"/>
          <w:sz w:val="24"/>
          <w:szCs w:val="24"/>
          <w:lang w:eastAsia="tr-TR"/>
        </w:rPr>
      </w:pPr>
      <w:r w:rsidRPr="00D55BA2">
        <w:rPr>
          <w:rFonts w:ascii="Times New Roman" w:hAnsi="Times New Roman"/>
          <w:bCs/>
          <w:i/>
          <w:color w:val="000000"/>
          <w:spacing w:val="15"/>
          <w:kern w:val="36"/>
          <w:sz w:val="24"/>
          <w:szCs w:val="24"/>
          <w:lang w:eastAsia="tr-TR"/>
        </w:rPr>
        <w:t>Jeomorfoloji Terimleri Sözlüğü</w:t>
      </w:r>
    </w:p>
    <w:p w:rsidR="00D55BA2" w:rsidRPr="00D55BA2" w:rsidRDefault="00D55BA2" w:rsidP="008F732C">
      <w:pPr>
        <w:pStyle w:val="Heading2"/>
        <w:shd w:val="clear" w:color="auto" w:fill="FFFFFF"/>
        <w:spacing w:before="0" w:line="240" w:lineRule="auto"/>
        <w:contextualSpacing/>
        <w:rPr>
          <w:rFonts w:ascii="Times New Roman" w:hAnsi="Times New Roman" w:cs="Times New Roman"/>
          <w:b w:val="0"/>
          <w:color w:val="000000"/>
          <w:spacing w:val="15"/>
          <w:sz w:val="24"/>
          <w:szCs w:val="24"/>
        </w:rPr>
      </w:pPr>
      <w:hyperlink r:id="rId79" w:history="1">
        <w:r w:rsidRPr="00D55BA2">
          <w:rPr>
            <w:rStyle w:val="Strong"/>
            <w:rFonts w:ascii="Times New Roman" w:hAnsi="Times New Roman" w:cs="Times New Roman"/>
            <w:color w:val="000000"/>
            <w:spacing w:val="15"/>
            <w:sz w:val="24"/>
            <w:szCs w:val="24"/>
          </w:rPr>
          <w:t>M. Yıldız Hoşgören</w:t>
        </w:r>
      </w:hyperlink>
      <w:r w:rsidRPr="00D55BA2">
        <w:rPr>
          <w:rFonts w:ascii="Times New Roman" w:hAnsi="Times New Roman" w:cs="Times New Roman"/>
          <w:b w:val="0"/>
          <w:color w:val="000000"/>
          <w:spacing w:val="15"/>
          <w:sz w:val="24"/>
          <w:szCs w:val="24"/>
        </w:rPr>
        <w:t xml:space="preserve"> (2011)</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Çantay</w:t>
      </w:r>
    </w:p>
    <w:p w:rsidR="00D55BA2" w:rsidRPr="00D55BA2" w:rsidRDefault="00D55BA2" w:rsidP="008F732C">
      <w:pPr>
        <w:shd w:val="clear" w:color="auto" w:fill="FFFFFF"/>
        <w:spacing w:after="0" w:line="240" w:lineRule="auto"/>
        <w:contextualSpacing/>
        <w:outlineLvl w:val="0"/>
        <w:rPr>
          <w:rFonts w:ascii="Times New Roman" w:hAnsi="Times New Roman"/>
          <w:bCs/>
          <w:color w:val="000000"/>
          <w:spacing w:val="15"/>
          <w:kern w:val="36"/>
          <w:sz w:val="24"/>
          <w:szCs w:val="24"/>
          <w:lang w:eastAsia="tr-TR"/>
        </w:rPr>
      </w:pPr>
    </w:p>
    <w:p w:rsidR="00D55BA2" w:rsidRPr="00D55BA2" w:rsidRDefault="00D55BA2" w:rsidP="008F732C">
      <w:pPr>
        <w:pStyle w:val="Heading1"/>
        <w:shd w:val="clear" w:color="auto" w:fill="FFFFFF"/>
        <w:spacing w:before="0" w:line="240" w:lineRule="auto"/>
        <w:contextualSpacing/>
        <w:rPr>
          <w:rFonts w:ascii="Times New Roman" w:hAnsi="Times New Roman" w:cs="Times New Roman"/>
          <w:b w:val="0"/>
          <w:i/>
          <w:color w:val="000000"/>
          <w:spacing w:val="15"/>
          <w:sz w:val="24"/>
          <w:szCs w:val="24"/>
        </w:rPr>
      </w:pPr>
      <w:r w:rsidRPr="00D55BA2">
        <w:rPr>
          <w:rFonts w:ascii="Times New Roman" w:hAnsi="Times New Roman" w:cs="Times New Roman"/>
          <w:b w:val="0"/>
          <w:i/>
          <w:color w:val="000000"/>
          <w:spacing w:val="15"/>
          <w:sz w:val="24"/>
          <w:szCs w:val="24"/>
        </w:rPr>
        <w:t>Erosion and Sedimentation 2e</w:t>
      </w:r>
    </w:p>
    <w:p w:rsidR="00D55BA2" w:rsidRPr="00D55BA2" w:rsidRDefault="00D55BA2" w:rsidP="008F732C">
      <w:pPr>
        <w:pStyle w:val="Heading2"/>
        <w:shd w:val="clear" w:color="auto" w:fill="FFFFFF"/>
        <w:spacing w:before="0" w:line="240" w:lineRule="auto"/>
        <w:contextualSpacing/>
        <w:rPr>
          <w:rFonts w:ascii="Times New Roman" w:hAnsi="Times New Roman" w:cs="Times New Roman"/>
          <w:b w:val="0"/>
          <w:color w:val="auto"/>
          <w:spacing w:val="15"/>
          <w:sz w:val="24"/>
          <w:szCs w:val="24"/>
        </w:rPr>
      </w:pPr>
      <w:hyperlink r:id="rId80" w:history="1">
        <w:r w:rsidRPr="00D55BA2">
          <w:rPr>
            <w:rStyle w:val="Strong"/>
            <w:rFonts w:ascii="Times New Roman" w:hAnsi="Times New Roman" w:cs="Times New Roman"/>
            <w:color w:val="auto"/>
            <w:spacing w:val="15"/>
            <w:sz w:val="24"/>
            <w:szCs w:val="24"/>
          </w:rPr>
          <w:t>Pierre Y. Julien</w:t>
        </w:r>
      </w:hyperlink>
      <w:r w:rsidRPr="00D55BA2">
        <w:rPr>
          <w:rFonts w:ascii="Times New Roman" w:hAnsi="Times New Roman" w:cs="Times New Roman"/>
          <w:b w:val="0"/>
          <w:color w:val="auto"/>
          <w:spacing w:val="15"/>
          <w:sz w:val="24"/>
          <w:szCs w:val="24"/>
        </w:rPr>
        <w:t xml:space="preserve"> (2010)</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Cambridge University Press</w:t>
      </w:r>
    </w:p>
    <w:p w:rsidR="008F732C" w:rsidRDefault="008F732C" w:rsidP="008F732C">
      <w:pPr>
        <w:spacing w:after="0" w:line="240" w:lineRule="auto"/>
        <w:contextualSpacing/>
        <w:rPr>
          <w:rFonts w:ascii="Times New Roman" w:hAnsi="Times New Roman"/>
          <w:i/>
          <w:sz w:val="24"/>
          <w:szCs w:val="24"/>
        </w:rPr>
      </w:pPr>
    </w:p>
    <w:p w:rsidR="008F732C" w:rsidRPr="00D55BA2" w:rsidRDefault="008F732C"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Çevre Bilinci</w:t>
      </w:r>
    </w:p>
    <w:p w:rsidR="008F732C" w:rsidRPr="00D55BA2" w:rsidRDefault="008F732C" w:rsidP="008F732C">
      <w:pPr>
        <w:spacing w:after="0" w:line="240" w:lineRule="auto"/>
        <w:contextualSpacing/>
        <w:rPr>
          <w:rFonts w:ascii="Times New Roman" w:hAnsi="Times New Roman"/>
          <w:sz w:val="24"/>
          <w:szCs w:val="24"/>
        </w:rPr>
      </w:pPr>
      <w:r w:rsidRPr="00D55BA2">
        <w:rPr>
          <w:rFonts w:ascii="Times New Roman" w:hAnsi="Times New Roman"/>
          <w:sz w:val="24"/>
          <w:szCs w:val="24"/>
        </w:rPr>
        <w:t>Mevlüt Türk (2010)</w:t>
      </w:r>
    </w:p>
    <w:p w:rsidR="008F732C" w:rsidRPr="00D55BA2" w:rsidRDefault="008F732C" w:rsidP="008F732C">
      <w:pPr>
        <w:spacing w:after="0" w:line="240" w:lineRule="auto"/>
        <w:contextualSpacing/>
        <w:rPr>
          <w:rFonts w:ascii="Times New Roman" w:hAnsi="Times New Roman"/>
          <w:sz w:val="24"/>
          <w:szCs w:val="24"/>
        </w:rPr>
      </w:pPr>
      <w:r w:rsidRPr="00D55BA2">
        <w:rPr>
          <w:rFonts w:ascii="Times New Roman" w:hAnsi="Times New Roman"/>
          <w:sz w:val="24"/>
          <w:szCs w:val="24"/>
        </w:rPr>
        <w:lastRenderedPageBreak/>
        <w:t>Nobel Yayın Dağıtım</w:t>
      </w:r>
    </w:p>
    <w:p w:rsidR="00D55BA2" w:rsidRPr="00D55BA2" w:rsidRDefault="00D55BA2" w:rsidP="008F732C">
      <w:pPr>
        <w:pStyle w:val="Heading1"/>
        <w:shd w:val="clear" w:color="auto" w:fill="FFFFFF"/>
        <w:spacing w:before="0" w:line="240" w:lineRule="auto"/>
        <w:contextualSpacing/>
        <w:rPr>
          <w:rFonts w:ascii="Times New Roman" w:hAnsi="Times New Roman" w:cs="Times New Roman"/>
          <w:b w:val="0"/>
          <w:i/>
          <w:color w:val="000000"/>
          <w:spacing w:val="15"/>
          <w:sz w:val="24"/>
          <w:szCs w:val="24"/>
        </w:rPr>
      </w:pPr>
      <w:r w:rsidRPr="00D55BA2">
        <w:rPr>
          <w:rFonts w:ascii="Times New Roman" w:hAnsi="Times New Roman" w:cs="Times New Roman"/>
          <w:b w:val="0"/>
          <w:i/>
          <w:color w:val="000000"/>
          <w:spacing w:val="15"/>
          <w:sz w:val="24"/>
          <w:szCs w:val="24"/>
        </w:rPr>
        <w:t>Earth Environments 1e : Past, Present and Future</w:t>
      </w:r>
    </w:p>
    <w:p w:rsidR="00D55BA2" w:rsidRPr="00D55BA2" w:rsidRDefault="00D55BA2" w:rsidP="008F732C">
      <w:pPr>
        <w:pStyle w:val="Heading2"/>
        <w:shd w:val="clear" w:color="auto" w:fill="FFFFFF"/>
        <w:spacing w:before="0" w:line="240" w:lineRule="auto"/>
        <w:contextualSpacing/>
        <w:rPr>
          <w:rFonts w:ascii="Times New Roman" w:hAnsi="Times New Roman" w:cs="Times New Roman"/>
          <w:b w:val="0"/>
          <w:color w:val="000000"/>
          <w:spacing w:val="15"/>
          <w:sz w:val="24"/>
          <w:szCs w:val="24"/>
        </w:rPr>
      </w:pPr>
      <w:hyperlink r:id="rId81" w:history="1">
        <w:r w:rsidRPr="00D55BA2">
          <w:rPr>
            <w:rStyle w:val="Strong"/>
            <w:rFonts w:ascii="Times New Roman" w:hAnsi="Times New Roman" w:cs="Times New Roman"/>
            <w:color w:val="000000"/>
            <w:spacing w:val="15"/>
            <w:sz w:val="24"/>
            <w:szCs w:val="24"/>
          </w:rPr>
          <w:t>David Huddart</w:t>
        </w:r>
      </w:hyperlink>
      <w:r w:rsidRPr="00D55BA2">
        <w:rPr>
          <w:rFonts w:ascii="Times New Roman" w:hAnsi="Times New Roman" w:cs="Times New Roman"/>
          <w:b w:val="0"/>
          <w:color w:val="000000"/>
          <w:spacing w:val="15"/>
          <w:sz w:val="24"/>
          <w:szCs w:val="24"/>
        </w:rPr>
        <w:t>,</w:t>
      </w:r>
      <w:r w:rsidRPr="00D55BA2">
        <w:rPr>
          <w:rStyle w:val="apple-converted-space"/>
          <w:rFonts w:ascii="Times New Roman" w:hAnsi="Times New Roman" w:cs="Times New Roman"/>
          <w:color w:val="000000"/>
          <w:spacing w:val="15"/>
          <w:sz w:val="24"/>
          <w:szCs w:val="24"/>
        </w:rPr>
        <w:t> </w:t>
      </w:r>
      <w:hyperlink r:id="rId82" w:history="1">
        <w:r w:rsidRPr="00D55BA2">
          <w:rPr>
            <w:rStyle w:val="Hyperlink"/>
            <w:rFonts w:ascii="Times New Roman" w:hAnsi="Times New Roman" w:cs="Times New Roman"/>
            <w:b w:val="0"/>
            <w:bCs w:val="0"/>
            <w:color w:val="000000"/>
            <w:spacing w:val="15"/>
            <w:sz w:val="24"/>
            <w:szCs w:val="24"/>
            <w:u w:val="none"/>
          </w:rPr>
          <w:t>Tim Stott</w:t>
        </w:r>
      </w:hyperlink>
      <w:r w:rsidRPr="00D55BA2">
        <w:rPr>
          <w:rFonts w:ascii="Times New Roman" w:hAnsi="Times New Roman" w:cs="Times New Roman"/>
          <w:b w:val="0"/>
          <w:color w:val="000000"/>
          <w:spacing w:val="15"/>
          <w:sz w:val="24"/>
          <w:szCs w:val="24"/>
        </w:rPr>
        <w:t xml:space="preserve"> </w:t>
      </w:r>
      <w:r w:rsidRPr="00D55BA2">
        <w:rPr>
          <w:rFonts w:ascii="Times New Roman" w:hAnsi="Times New Roman" w:cs="Times New Roman"/>
          <w:b w:val="0"/>
          <w:color w:val="auto"/>
          <w:spacing w:val="15"/>
          <w:sz w:val="24"/>
          <w:szCs w:val="24"/>
        </w:rPr>
        <w:t>(2010)</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John Wiley High Education</w:t>
      </w:r>
    </w:p>
    <w:p w:rsidR="00D55BA2" w:rsidRPr="00D55BA2" w:rsidRDefault="00D55BA2" w:rsidP="008F732C">
      <w:pPr>
        <w:spacing w:after="0" w:line="240" w:lineRule="auto"/>
        <w:contextualSpacing/>
        <w:rPr>
          <w:rFonts w:ascii="Times New Roman" w:hAnsi="Times New Roman"/>
          <w:sz w:val="24"/>
          <w:szCs w:val="24"/>
        </w:rPr>
      </w:pPr>
    </w:p>
    <w:p w:rsidR="00D55BA2" w:rsidRPr="00D55BA2" w:rsidRDefault="00D55BA2"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Modeling the Environment 2e</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ANDREW FORD (2010)</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Island</w:t>
      </w:r>
    </w:p>
    <w:p w:rsidR="00D55BA2" w:rsidRPr="00D55BA2" w:rsidRDefault="00D55BA2" w:rsidP="008F732C">
      <w:pPr>
        <w:spacing w:after="0" w:line="240" w:lineRule="auto"/>
        <w:contextualSpacing/>
        <w:rPr>
          <w:rFonts w:ascii="Times New Roman" w:hAnsi="Times New Roman"/>
          <w:sz w:val="24"/>
          <w:szCs w:val="24"/>
        </w:rPr>
      </w:pPr>
    </w:p>
    <w:p w:rsidR="00D55BA2" w:rsidRPr="00D55BA2" w:rsidRDefault="00D55BA2"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Börtü Böcek İçin Doğa Dostu Öneriler ve Ev Yapımı İlaçlar</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Dr. Füsun Tezcan (2011)</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Kişisel Yayınlar</w:t>
      </w:r>
    </w:p>
    <w:p w:rsidR="00D55BA2" w:rsidRPr="00D55BA2" w:rsidRDefault="00D55BA2" w:rsidP="008F732C">
      <w:pPr>
        <w:spacing w:after="0" w:line="240" w:lineRule="auto"/>
        <w:contextualSpacing/>
        <w:rPr>
          <w:rFonts w:ascii="Times New Roman" w:hAnsi="Times New Roman"/>
          <w:sz w:val="24"/>
          <w:szCs w:val="24"/>
        </w:rPr>
      </w:pPr>
    </w:p>
    <w:p w:rsidR="00D55BA2" w:rsidRPr="00D55BA2" w:rsidRDefault="00D55BA2"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Permakültüre Giriş</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Yazar : Bill Mollison   Çevirmen:  Egemen Özkan (2011)</w:t>
      </w:r>
      <w:bookmarkStart w:id="43" w:name="_GoBack"/>
      <w:bookmarkEnd w:id="43"/>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Sinek Sekiz</w:t>
      </w:r>
    </w:p>
    <w:p w:rsidR="00D55BA2" w:rsidRPr="00D55BA2" w:rsidRDefault="00D55BA2" w:rsidP="008F732C">
      <w:pPr>
        <w:spacing w:after="0" w:line="240" w:lineRule="auto"/>
        <w:contextualSpacing/>
        <w:rPr>
          <w:rFonts w:ascii="Times New Roman" w:hAnsi="Times New Roman"/>
          <w:sz w:val="24"/>
          <w:szCs w:val="24"/>
        </w:rPr>
      </w:pPr>
    </w:p>
    <w:p w:rsidR="00D55BA2" w:rsidRPr="00D55BA2" w:rsidRDefault="00D55BA2"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Türkiye Yaşadığımız Cennet</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Editör: Mustafa Alp (2011)</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NTV Yayınları</w:t>
      </w:r>
    </w:p>
    <w:p w:rsidR="00D55BA2" w:rsidRPr="00D55BA2" w:rsidRDefault="00D55BA2" w:rsidP="008F732C">
      <w:pPr>
        <w:spacing w:after="0" w:line="240" w:lineRule="auto"/>
        <w:contextualSpacing/>
        <w:rPr>
          <w:rFonts w:ascii="Times New Roman" w:hAnsi="Times New Roman"/>
          <w:sz w:val="24"/>
          <w:szCs w:val="24"/>
        </w:rPr>
      </w:pPr>
    </w:p>
    <w:p w:rsidR="00D55BA2" w:rsidRPr="00D55BA2" w:rsidRDefault="00D55BA2"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Yerel Yönetimlerde AB Çevreciliği ve Uyum Sorunları</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Dr. Nuran Talu (2009)</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Nobel Yayın Dağıtım</w:t>
      </w:r>
    </w:p>
    <w:p w:rsidR="00D55BA2" w:rsidRPr="00D55BA2" w:rsidRDefault="00D55BA2" w:rsidP="008F732C">
      <w:pPr>
        <w:spacing w:after="0" w:line="240" w:lineRule="auto"/>
        <w:contextualSpacing/>
        <w:rPr>
          <w:rFonts w:ascii="Times New Roman" w:hAnsi="Times New Roman"/>
          <w:sz w:val="24"/>
          <w:szCs w:val="24"/>
        </w:rPr>
      </w:pPr>
    </w:p>
    <w:p w:rsidR="00D55BA2" w:rsidRPr="00D55BA2" w:rsidRDefault="00D55BA2"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Dünya Önemlidir - Bir Ekoloji Ansiklopedisi</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David de Rothschild (2009)</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Tudem Yayınevi</w:t>
      </w:r>
    </w:p>
    <w:p w:rsidR="00D55BA2" w:rsidRPr="00D55BA2" w:rsidRDefault="00D55BA2" w:rsidP="008F732C">
      <w:pPr>
        <w:spacing w:after="0" w:line="240" w:lineRule="auto"/>
        <w:contextualSpacing/>
        <w:rPr>
          <w:rFonts w:ascii="Times New Roman" w:hAnsi="Times New Roman"/>
          <w:sz w:val="24"/>
          <w:szCs w:val="24"/>
        </w:rPr>
      </w:pPr>
    </w:p>
    <w:p w:rsidR="00D55BA2" w:rsidRPr="00D55BA2" w:rsidRDefault="00D55BA2"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Orman, Ormancılık Kavramları ve Terimleri Sözlüğü</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İlyas Çügen (2011)</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Seçkin Yayıncılık</w:t>
      </w:r>
    </w:p>
    <w:p w:rsidR="00D55BA2" w:rsidRPr="00D55BA2" w:rsidRDefault="00D55BA2" w:rsidP="008F732C">
      <w:pPr>
        <w:spacing w:after="0" w:line="240" w:lineRule="auto"/>
        <w:contextualSpacing/>
        <w:rPr>
          <w:rFonts w:ascii="Times New Roman" w:hAnsi="Times New Roman"/>
          <w:sz w:val="24"/>
          <w:szCs w:val="24"/>
        </w:rPr>
      </w:pPr>
    </w:p>
    <w:p w:rsidR="00D55BA2" w:rsidRPr="00D55BA2" w:rsidRDefault="00D55BA2"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Çevrebilim Sözlüğü, Ekoloji Sözlüğü</w:t>
      </w:r>
    </w:p>
    <w:p w:rsidR="00D55BA2" w:rsidRPr="00D55BA2" w:rsidRDefault="00D55BA2"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Emrullah Güney (2009)</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Seçkin Yayıncılık</w:t>
      </w:r>
    </w:p>
    <w:p w:rsidR="00D55BA2" w:rsidRPr="00D55BA2" w:rsidRDefault="00D55BA2" w:rsidP="008F732C">
      <w:pPr>
        <w:spacing w:after="0" w:line="240" w:lineRule="auto"/>
        <w:contextualSpacing/>
        <w:rPr>
          <w:rFonts w:ascii="Times New Roman" w:hAnsi="Times New Roman"/>
          <w:i/>
          <w:sz w:val="24"/>
          <w:szCs w:val="24"/>
        </w:rPr>
      </w:pPr>
    </w:p>
    <w:p w:rsidR="00D55BA2" w:rsidRPr="00D55BA2" w:rsidRDefault="00D55BA2" w:rsidP="008F732C">
      <w:pPr>
        <w:spacing w:after="0" w:line="240" w:lineRule="auto"/>
        <w:contextualSpacing/>
        <w:rPr>
          <w:rFonts w:ascii="Times New Roman" w:hAnsi="Times New Roman"/>
          <w:i/>
          <w:sz w:val="24"/>
          <w:szCs w:val="24"/>
        </w:rPr>
      </w:pPr>
      <w:r w:rsidRPr="00D55BA2">
        <w:rPr>
          <w:rFonts w:ascii="Times New Roman" w:hAnsi="Times New Roman"/>
          <w:i/>
          <w:sz w:val="24"/>
          <w:szCs w:val="24"/>
        </w:rPr>
        <w:t>KYOTO PROTOKOLÜ VE KARBON EMİSYONLARI</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(2009)</w:t>
      </w:r>
    </w:p>
    <w:p w:rsidR="00D55BA2" w:rsidRPr="00D55BA2" w:rsidRDefault="00D55BA2" w:rsidP="008F732C">
      <w:pPr>
        <w:spacing w:after="0" w:line="240" w:lineRule="auto"/>
        <w:contextualSpacing/>
        <w:rPr>
          <w:rFonts w:ascii="Times New Roman" w:hAnsi="Times New Roman"/>
          <w:sz w:val="24"/>
          <w:szCs w:val="24"/>
        </w:rPr>
      </w:pPr>
      <w:r w:rsidRPr="00D55BA2">
        <w:rPr>
          <w:rFonts w:ascii="Times New Roman" w:hAnsi="Times New Roman"/>
          <w:sz w:val="24"/>
          <w:szCs w:val="24"/>
        </w:rPr>
        <w:t>Türkiye Çevre Vakfı Yayınları</w:t>
      </w:r>
    </w:p>
    <w:p w:rsidR="00D55BA2" w:rsidRPr="00D55BA2" w:rsidRDefault="00D55BA2" w:rsidP="008F732C">
      <w:pPr>
        <w:spacing w:after="0" w:line="240" w:lineRule="auto"/>
        <w:contextualSpacing/>
        <w:rPr>
          <w:rFonts w:ascii="Times New Roman" w:hAnsi="Times New Roman"/>
          <w:sz w:val="24"/>
          <w:szCs w:val="24"/>
        </w:rPr>
      </w:pPr>
    </w:p>
    <w:p w:rsidR="00D55BA2" w:rsidRPr="00D55BA2" w:rsidRDefault="00D55BA2" w:rsidP="008F732C">
      <w:pPr>
        <w:spacing w:after="0" w:line="240" w:lineRule="auto"/>
        <w:contextualSpacing/>
        <w:rPr>
          <w:rFonts w:ascii="Times New Roman" w:hAnsi="Times New Roman"/>
          <w:sz w:val="24"/>
          <w:szCs w:val="24"/>
        </w:rPr>
        <w:sectPr w:rsidR="00D55BA2" w:rsidRPr="00D55BA2" w:rsidSect="00D55BA2">
          <w:type w:val="continuous"/>
          <w:pgSz w:w="11906" w:h="16838"/>
          <w:pgMar w:top="1417" w:right="849" w:bottom="1417" w:left="1134" w:header="708" w:footer="340" w:gutter="0"/>
          <w:cols w:num="2" w:space="708"/>
          <w:docGrid w:linePitch="360"/>
        </w:sectPr>
      </w:pPr>
    </w:p>
    <w:p w:rsidR="00907EDD" w:rsidRPr="00D55BA2" w:rsidRDefault="00907EDD" w:rsidP="00D55BA2">
      <w:pPr>
        <w:spacing w:after="0"/>
        <w:rPr>
          <w:rFonts w:ascii="Times New Roman" w:hAnsi="Times New Roman"/>
          <w:sz w:val="24"/>
          <w:szCs w:val="24"/>
        </w:rPr>
      </w:pPr>
      <w:r>
        <w:rPr>
          <w:rFonts w:ascii="Times New Roman" w:hAnsi="Times New Roman"/>
          <w:b/>
          <w:sz w:val="32"/>
          <w:szCs w:val="32"/>
        </w:rPr>
        <w:lastRenderedPageBreak/>
        <w:br w:type="page"/>
      </w:r>
    </w:p>
    <w:p w:rsidR="00907EDD" w:rsidRPr="00907EDD" w:rsidRDefault="00907EDD" w:rsidP="00907EDD">
      <w:pPr>
        <w:spacing w:after="0" w:line="240" w:lineRule="auto"/>
        <w:jc w:val="both"/>
        <w:outlineLvl w:val="2"/>
        <w:rPr>
          <w:rFonts w:ascii="Times New Roman" w:hAnsi="Times New Roman"/>
          <w:b/>
          <w:sz w:val="32"/>
          <w:szCs w:val="32"/>
        </w:rPr>
      </w:pPr>
      <w:r w:rsidRPr="00907EDD">
        <w:rPr>
          <w:rFonts w:ascii="Times New Roman" w:hAnsi="Times New Roman"/>
          <w:b/>
          <w:sz w:val="32"/>
          <w:szCs w:val="32"/>
        </w:rPr>
        <w:lastRenderedPageBreak/>
        <w:t xml:space="preserve">KATI ATIK VE ÇEVRE DERGİSİ YAZIM KURALLARI </w:t>
      </w:r>
    </w:p>
    <w:p w:rsidR="00907EDD" w:rsidRPr="00907EDD" w:rsidRDefault="00907EDD" w:rsidP="00907EDD">
      <w:pPr>
        <w:spacing w:before="120" w:after="120" w:line="240" w:lineRule="auto"/>
        <w:rPr>
          <w:rFonts w:ascii="Times New Roman" w:hAnsi="Times New Roman"/>
          <w:b/>
          <w:sz w:val="32"/>
          <w:szCs w:val="32"/>
        </w:rPr>
      </w:pPr>
    </w:p>
    <w:p w:rsidR="00907EDD" w:rsidRPr="00907EDD" w:rsidRDefault="00907EDD" w:rsidP="00907EDD">
      <w:pPr>
        <w:spacing w:before="120" w:after="120" w:line="240" w:lineRule="auto"/>
        <w:rPr>
          <w:rFonts w:ascii="Times New Roman" w:hAnsi="Times New Roman"/>
          <w:b/>
          <w:sz w:val="24"/>
          <w:szCs w:val="24"/>
        </w:rPr>
      </w:pPr>
      <w:r w:rsidRPr="00907EDD">
        <w:rPr>
          <w:rFonts w:ascii="Times New Roman" w:hAnsi="Times New Roman"/>
          <w:b/>
          <w:sz w:val="24"/>
          <w:szCs w:val="24"/>
        </w:rPr>
        <w:t>Günay Kocasoy</w:t>
      </w:r>
      <w:r w:rsidRPr="00907EDD">
        <w:rPr>
          <w:rFonts w:ascii="Times New Roman" w:hAnsi="Times New Roman"/>
          <w:b/>
          <w:sz w:val="24"/>
          <w:szCs w:val="24"/>
          <w:vertAlign w:val="superscript"/>
        </w:rPr>
        <w:t>1</w:t>
      </w:r>
      <w:r w:rsidRPr="00907EDD">
        <w:rPr>
          <w:rFonts w:ascii="Times New Roman" w:hAnsi="Times New Roman"/>
          <w:b/>
          <w:sz w:val="24"/>
          <w:szCs w:val="24"/>
        </w:rPr>
        <w:t>, Bülent Topkaya</w:t>
      </w:r>
      <w:r w:rsidRPr="00907EDD">
        <w:rPr>
          <w:rFonts w:ascii="Times New Roman" w:hAnsi="Times New Roman"/>
          <w:b/>
          <w:sz w:val="24"/>
          <w:szCs w:val="24"/>
          <w:vertAlign w:val="superscript"/>
        </w:rPr>
        <w:t>2</w:t>
      </w:r>
    </w:p>
    <w:p w:rsidR="00907EDD" w:rsidRPr="00907EDD" w:rsidRDefault="00907EDD" w:rsidP="00907EDD">
      <w:pPr>
        <w:spacing w:after="0" w:line="240" w:lineRule="auto"/>
        <w:rPr>
          <w:rFonts w:ascii="Times New Roman" w:hAnsi="Times New Roman"/>
        </w:rPr>
      </w:pPr>
      <w:r w:rsidRPr="00907EDD">
        <w:rPr>
          <w:rFonts w:ascii="Times New Roman" w:hAnsi="Times New Roman"/>
          <w:vertAlign w:val="superscript"/>
        </w:rPr>
        <w:t>1</w:t>
      </w:r>
      <w:r w:rsidRPr="00907EDD">
        <w:rPr>
          <w:rFonts w:ascii="Times New Roman" w:hAnsi="Times New Roman"/>
        </w:rPr>
        <w:t>Boğaziçi Üniversitesi Çevre Bilimleri Enstitüsü, 34342 Bebek İstanbul</w:t>
      </w:r>
    </w:p>
    <w:p w:rsidR="00907EDD" w:rsidRPr="00907EDD" w:rsidRDefault="00907EDD" w:rsidP="00907EDD">
      <w:pPr>
        <w:spacing w:after="0" w:line="240" w:lineRule="auto"/>
        <w:rPr>
          <w:rFonts w:ascii="Times New Roman" w:hAnsi="Times New Roman"/>
        </w:rPr>
      </w:pPr>
      <w:r w:rsidRPr="00907EDD">
        <w:rPr>
          <w:rFonts w:ascii="Times New Roman" w:hAnsi="Times New Roman"/>
          <w:vertAlign w:val="superscript"/>
        </w:rPr>
        <w:t>2</w:t>
      </w:r>
      <w:r w:rsidRPr="00907EDD">
        <w:rPr>
          <w:rFonts w:ascii="Times New Roman" w:hAnsi="Times New Roman"/>
        </w:rPr>
        <w:t>Akdeniz Üniversitesi Çevre Mühendisliği Bölümü, Dumlupınar Bulvarı 07058 Antalya</w:t>
      </w:r>
    </w:p>
    <w:p w:rsidR="00907EDD" w:rsidRPr="00907EDD" w:rsidRDefault="00907EDD" w:rsidP="00907EDD">
      <w:pPr>
        <w:spacing w:before="120" w:after="120" w:line="240" w:lineRule="auto"/>
        <w:rPr>
          <w:rFonts w:ascii="Times New Roman" w:hAnsi="Times New Roman"/>
        </w:rPr>
      </w:pPr>
    </w:p>
    <w:p w:rsidR="00907EDD" w:rsidRPr="00907EDD" w:rsidRDefault="00907EDD" w:rsidP="00907EDD">
      <w:pPr>
        <w:spacing w:before="120" w:after="120" w:line="240" w:lineRule="auto"/>
        <w:rPr>
          <w:rFonts w:ascii="Times New Roman" w:hAnsi="Times New Roman"/>
          <w:b/>
        </w:rPr>
      </w:pPr>
      <w:r w:rsidRPr="00907EDD">
        <w:rPr>
          <w:rFonts w:ascii="Times New Roman" w:hAnsi="Times New Roman"/>
          <w:b/>
        </w:rPr>
        <w:t>Özet</w:t>
      </w:r>
    </w:p>
    <w:p w:rsidR="00907EDD" w:rsidRPr="00907EDD" w:rsidRDefault="00907EDD" w:rsidP="00907EDD">
      <w:pPr>
        <w:spacing w:before="120" w:after="120" w:line="240" w:lineRule="auto"/>
        <w:jc w:val="both"/>
        <w:rPr>
          <w:rFonts w:ascii="Times New Roman" w:hAnsi="Times New Roman"/>
        </w:rPr>
      </w:pPr>
      <w:r w:rsidRPr="00907EDD">
        <w:rPr>
          <w:rFonts w:ascii="Times New Roman" w:hAnsi="Times New Roman"/>
        </w:rPr>
        <w:t>Özet kısmında çalışmanın amacı, yapılan çalışmanın kısa özeti ve elde edilen sonuçlardan bahsedilmelidir. Özet, tek paragraf halinde yazılmalı ve 150-250 kelime arasında olmalıdır. Garamond yazı tipi, 11 punto kullanılmalı ve yazı metnin iki tarafına da hizalanmalıdır.</w:t>
      </w:r>
    </w:p>
    <w:p w:rsidR="00907EDD" w:rsidRPr="00907EDD" w:rsidRDefault="00907EDD" w:rsidP="00907EDD">
      <w:pPr>
        <w:spacing w:before="120" w:after="120" w:line="240" w:lineRule="auto"/>
        <w:jc w:val="both"/>
        <w:rPr>
          <w:rFonts w:ascii="Times New Roman" w:hAnsi="Times New Roman"/>
          <w:i/>
        </w:rPr>
      </w:pPr>
      <w:r w:rsidRPr="00907EDD">
        <w:rPr>
          <w:rFonts w:ascii="Times New Roman" w:hAnsi="Times New Roman"/>
          <w:i/>
        </w:rPr>
        <w:t>Anahtar kelimeler: En fazla 6 anahtar kelime, sadece ilk kelimenin ilk harfi büyük diğer harfler küçük olacak şekilde, alfabetik sırayla yazılmalı, virgüllerle ayrılmalıdır (11 punto, italik)</w:t>
      </w:r>
    </w:p>
    <w:p w:rsidR="00907EDD" w:rsidRPr="00907EDD" w:rsidRDefault="00907EDD" w:rsidP="00907EDD">
      <w:pPr>
        <w:spacing w:before="120" w:after="120" w:line="240" w:lineRule="auto"/>
        <w:jc w:val="both"/>
        <w:rPr>
          <w:rFonts w:ascii="Times New Roman" w:hAnsi="Times New Roman"/>
        </w:rPr>
      </w:pPr>
    </w:p>
    <w:p w:rsidR="00907EDD" w:rsidRPr="00907EDD" w:rsidRDefault="00907EDD" w:rsidP="00907EDD">
      <w:pPr>
        <w:spacing w:before="120" w:after="120" w:line="240" w:lineRule="auto"/>
        <w:rPr>
          <w:rFonts w:ascii="Times New Roman" w:hAnsi="Times New Roman"/>
          <w:b/>
          <w:sz w:val="28"/>
          <w:szCs w:val="28"/>
        </w:rPr>
      </w:pPr>
      <w:r w:rsidRPr="00907EDD">
        <w:rPr>
          <w:rFonts w:ascii="Times New Roman" w:hAnsi="Times New Roman"/>
          <w:b/>
          <w:sz w:val="28"/>
          <w:szCs w:val="28"/>
        </w:rPr>
        <w:t>JOURNAL OF KATI ATIK VE ÇEVRE GUIDELINES FOR AUTHORS</w:t>
      </w:r>
    </w:p>
    <w:p w:rsidR="00907EDD" w:rsidRPr="00907EDD" w:rsidRDefault="00907EDD" w:rsidP="00907EDD">
      <w:pPr>
        <w:spacing w:before="120" w:after="120" w:line="240" w:lineRule="auto"/>
        <w:rPr>
          <w:rFonts w:ascii="Times New Roman" w:hAnsi="Times New Roman"/>
          <w:b/>
        </w:rPr>
      </w:pPr>
    </w:p>
    <w:p w:rsidR="00907EDD" w:rsidRPr="00907EDD" w:rsidRDefault="00907EDD" w:rsidP="00907EDD">
      <w:pPr>
        <w:spacing w:before="120" w:after="120" w:line="240" w:lineRule="auto"/>
        <w:rPr>
          <w:rFonts w:ascii="Times New Roman" w:hAnsi="Times New Roman"/>
          <w:b/>
        </w:rPr>
      </w:pPr>
      <w:r w:rsidRPr="00907EDD">
        <w:rPr>
          <w:rFonts w:ascii="Times New Roman" w:hAnsi="Times New Roman"/>
          <w:b/>
        </w:rPr>
        <w:t xml:space="preserve">Abstract </w:t>
      </w:r>
    </w:p>
    <w:p w:rsidR="00907EDD" w:rsidRPr="00907EDD" w:rsidRDefault="00907EDD" w:rsidP="00907EDD">
      <w:pPr>
        <w:spacing w:before="120" w:after="120" w:line="240" w:lineRule="auto"/>
        <w:jc w:val="both"/>
        <w:rPr>
          <w:rFonts w:ascii="Times New Roman" w:hAnsi="Times New Roman"/>
        </w:rPr>
      </w:pPr>
      <w:r w:rsidRPr="00907EDD">
        <w:rPr>
          <w:rFonts w:ascii="Times New Roman" w:hAnsi="Times New Roman"/>
        </w:rPr>
        <w:t>Yukarıda verilen Türkçe özetin İngilizcesi yer almalıdır. Özet tek paragraf halinde yazılmalı ve 150-250 kelime arasında olmalıdır. Garamond yazı tipi, 11 punto kullanılmalı ve yazı metnin iki tarafına da hizalanmalıdır.</w:t>
      </w:r>
    </w:p>
    <w:p w:rsidR="00907EDD" w:rsidRPr="00907EDD" w:rsidRDefault="00907EDD" w:rsidP="00907EDD">
      <w:pPr>
        <w:spacing w:before="120" w:after="120" w:line="240" w:lineRule="auto"/>
        <w:jc w:val="both"/>
        <w:rPr>
          <w:rFonts w:ascii="Times New Roman" w:hAnsi="Times New Roman"/>
          <w:i/>
        </w:rPr>
      </w:pPr>
      <w:r w:rsidRPr="00907EDD">
        <w:rPr>
          <w:rFonts w:ascii="Times New Roman" w:hAnsi="Times New Roman"/>
          <w:i/>
        </w:rPr>
        <w:t>Keywords: En fazla 6 anahtar kelime, sadece ilk kelimenin ilk harfi büyük diğer harfler küçük olacak şekilde, alfabetik sırayla yazılmalı, virgüllerle ayrılmalıdır (11 punto, italik)</w:t>
      </w:r>
    </w:p>
    <w:p w:rsidR="00907EDD" w:rsidRPr="00907EDD" w:rsidRDefault="00907EDD" w:rsidP="00907EDD">
      <w:pPr>
        <w:spacing w:before="120" w:after="120" w:line="240" w:lineRule="auto"/>
        <w:jc w:val="both"/>
        <w:rPr>
          <w:rFonts w:ascii="Times New Roman" w:hAnsi="Times New Roman"/>
        </w:rPr>
      </w:pPr>
    </w:p>
    <w:p w:rsidR="00907EDD" w:rsidRPr="00907EDD" w:rsidRDefault="00907EDD" w:rsidP="00907EDD">
      <w:pPr>
        <w:spacing w:before="120" w:after="120" w:line="240" w:lineRule="auto"/>
        <w:jc w:val="both"/>
        <w:rPr>
          <w:rFonts w:ascii="Times New Roman" w:hAnsi="Times New Roman"/>
        </w:rPr>
      </w:pPr>
    </w:p>
    <w:p w:rsidR="00907EDD" w:rsidRPr="00907EDD" w:rsidRDefault="00907EDD" w:rsidP="00907EDD">
      <w:pPr>
        <w:numPr>
          <w:ilvl w:val="0"/>
          <w:numId w:val="16"/>
        </w:numPr>
        <w:spacing w:before="240" w:after="240" w:line="240" w:lineRule="auto"/>
        <w:jc w:val="both"/>
        <w:rPr>
          <w:rFonts w:ascii="Times New Roman" w:hAnsi="Times New Roman"/>
          <w:b/>
          <w:sz w:val="24"/>
          <w:szCs w:val="24"/>
        </w:rPr>
      </w:pPr>
      <w:r w:rsidRPr="00907EDD">
        <w:rPr>
          <w:rFonts w:ascii="Times New Roman" w:hAnsi="Times New Roman"/>
          <w:b/>
          <w:sz w:val="24"/>
          <w:szCs w:val="24"/>
        </w:rPr>
        <w:t>GİRİŞ</w:t>
      </w:r>
    </w:p>
    <w:p w:rsidR="00907EDD" w:rsidRPr="00907EDD" w:rsidRDefault="00907EDD" w:rsidP="00907EDD">
      <w:pPr>
        <w:numPr>
          <w:ilvl w:val="0"/>
          <w:numId w:val="17"/>
        </w:numPr>
        <w:spacing w:before="240" w:after="240" w:line="240" w:lineRule="auto"/>
        <w:jc w:val="both"/>
        <w:rPr>
          <w:rFonts w:ascii="Times New Roman" w:hAnsi="Times New Roman"/>
          <w:b/>
          <w:sz w:val="24"/>
          <w:szCs w:val="24"/>
        </w:rPr>
      </w:pPr>
      <w:r w:rsidRPr="00907EDD">
        <w:rPr>
          <w:rFonts w:ascii="Times New Roman" w:hAnsi="Times New Roman"/>
          <w:b/>
          <w:sz w:val="24"/>
          <w:szCs w:val="24"/>
        </w:rPr>
        <w:t xml:space="preserve">Sayfa Boyutu: </w:t>
      </w:r>
      <w:r w:rsidRPr="00907EDD">
        <w:rPr>
          <w:rFonts w:ascii="Times New Roman" w:hAnsi="Times New Roman"/>
          <w:sz w:val="24"/>
          <w:szCs w:val="24"/>
        </w:rPr>
        <w:t xml:space="preserve">Makale A4 boyutta sayfaya, üstten ve alttan </w:t>
      </w:r>
      <w:smartTag w:uri="urn:schemas-microsoft-com:office:smarttags" w:element="metricconverter">
        <w:smartTagPr>
          <w:attr w:name="ProductID" w:val="2,5 cm"/>
        </w:smartTagPr>
        <w:r w:rsidRPr="00907EDD">
          <w:rPr>
            <w:rFonts w:ascii="Times New Roman" w:hAnsi="Times New Roman"/>
            <w:sz w:val="24"/>
            <w:szCs w:val="24"/>
          </w:rPr>
          <w:t>2,5 cm</w:t>
        </w:r>
      </w:smartTag>
      <w:r w:rsidRPr="00907EDD">
        <w:rPr>
          <w:rFonts w:ascii="Times New Roman" w:hAnsi="Times New Roman"/>
          <w:sz w:val="24"/>
          <w:szCs w:val="24"/>
        </w:rPr>
        <w:t xml:space="preserve">, soldan </w:t>
      </w:r>
      <w:smartTag w:uri="urn:schemas-microsoft-com:office:smarttags" w:element="metricconverter">
        <w:smartTagPr>
          <w:attr w:name="ProductID" w:val="2 cm"/>
        </w:smartTagPr>
        <w:r w:rsidRPr="00907EDD">
          <w:rPr>
            <w:rFonts w:ascii="Times New Roman" w:hAnsi="Times New Roman"/>
            <w:sz w:val="24"/>
            <w:szCs w:val="24"/>
          </w:rPr>
          <w:t>2 cm</w:t>
        </w:r>
      </w:smartTag>
      <w:r w:rsidRPr="00907EDD">
        <w:rPr>
          <w:rFonts w:ascii="Times New Roman" w:hAnsi="Times New Roman"/>
          <w:sz w:val="24"/>
          <w:szCs w:val="24"/>
        </w:rPr>
        <w:t xml:space="preserve"> ve sağdan </w:t>
      </w:r>
      <w:smartTag w:uri="urn:schemas-microsoft-com:office:smarttags" w:element="metricconverter">
        <w:smartTagPr>
          <w:attr w:name="ProductID" w:val="1,5 cm"/>
        </w:smartTagPr>
        <w:r w:rsidRPr="00907EDD">
          <w:rPr>
            <w:rFonts w:ascii="Times New Roman" w:hAnsi="Times New Roman"/>
            <w:sz w:val="24"/>
            <w:szCs w:val="24"/>
          </w:rPr>
          <w:t>1,5 cm</w:t>
        </w:r>
      </w:smartTag>
      <w:r w:rsidRPr="00907EDD">
        <w:rPr>
          <w:rFonts w:ascii="Times New Roman" w:hAnsi="Times New Roman"/>
          <w:sz w:val="24"/>
          <w:szCs w:val="24"/>
        </w:rPr>
        <w:t xml:space="preserve"> boşluk bırakılarak yazılmalıdır. Metnin tamamında (şekil ve tablolar hariç) Garamond yazı tipi kullanılmalıdır.</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 xml:space="preserve">Makale Başlığı: </w:t>
      </w:r>
      <w:r w:rsidRPr="00907EDD">
        <w:rPr>
          <w:rFonts w:ascii="Times New Roman" w:hAnsi="Times New Roman"/>
          <w:sz w:val="24"/>
          <w:szCs w:val="24"/>
        </w:rPr>
        <w:t>Başlık büyük harflerle, 16 punto ve koyu olarak yazılmalıdır. Başlık sola hizalı olmalı ve uzunluğu 10 kelimeyi aşmamalıdır. Başlıktan sonra bir satır boşluk bırakılmalıdır (16 punto).</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 xml:space="preserve">Yazarlar ve Adresler: </w:t>
      </w:r>
      <w:r w:rsidRPr="00907EDD">
        <w:rPr>
          <w:rFonts w:ascii="Times New Roman" w:hAnsi="Times New Roman"/>
          <w:sz w:val="24"/>
          <w:szCs w:val="24"/>
        </w:rPr>
        <w:t>Yazar isimleri 12 punto ve koyu olarak yazılmalıdır. İsimler sola hizalı olmalıdır. Yazar adresleri bir alt satıra, 11 punto olarak yazılmalıdır. Adresler sola hizalı olmalıdır. Eğer, yazarlar farklı kurumlarda çalışıyorlarsa, isimler yukarıdaki örnekte olduğu gibi numaralandırılmalı ve numaralar adreslerin başında belirtilmelidir. Adreslerin ardından tek satır boşluk bırakılmalıdır (11 punto).</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Özet:</w:t>
      </w:r>
      <w:r w:rsidRPr="00907EDD">
        <w:rPr>
          <w:rFonts w:ascii="Times New Roman" w:hAnsi="Times New Roman"/>
          <w:sz w:val="24"/>
          <w:szCs w:val="24"/>
        </w:rPr>
        <w:t xml:space="preserve"> Türkçe olarak yazılmalıdır. “Özet” şeklindeki başlık 11 punto, koyu ve sola dayalı olarak yazılmalıdır. Özet metni, 11 punto ve iki yana dayalı olarak yazılmalıdır. Ayrıca özet metni bir paragraf halinde, 150-250 kelime arasında olmalıdır. (11 punto).</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 xml:space="preserve">Anahtar Kelimeler: </w:t>
      </w:r>
      <w:r w:rsidRPr="00907EDD">
        <w:rPr>
          <w:rFonts w:ascii="Times New Roman" w:hAnsi="Times New Roman"/>
          <w:sz w:val="24"/>
          <w:szCs w:val="24"/>
        </w:rPr>
        <w:t xml:space="preserve">Anahtar kelimeler, Türkçe özetin altına Türkçe olarak örnekteki şekilde yazılmalıdır. Anahtar kelimeler, 11 punto, italik ve sola dayalı olarak yazılmalıdır. Anahtar kelimeler en fazla 6 tane olmalı, alfabetik sırayla dizilmeli, sadece ilk kelimenin ilk harfi büyük </w:t>
      </w:r>
      <w:r w:rsidRPr="00907EDD">
        <w:rPr>
          <w:rFonts w:ascii="Times New Roman" w:hAnsi="Times New Roman"/>
          <w:sz w:val="24"/>
          <w:szCs w:val="24"/>
        </w:rPr>
        <w:lastRenderedPageBreak/>
        <w:t>diğer harfler küçük olacak şekilde ve virgülle ayrılmalıdır. Anahtar kelimelerden sonra tek satır boşluk bırakılmalıdır (11 punto).</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 xml:space="preserve">İngilizce Başlık: </w:t>
      </w:r>
      <w:r w:rsidRPr="00907EDD">
        <w:rPr>
          <w:rFonts w:ascii="Times New Roman" w:hAnsi="Times New Roman"/>
          <w:sz w:val="24"/>
          <w:szCs w:val="24"/>
        </w:rPr>
        <w:t>Türkçe anahtar kelimelerden sonra İngilizce başlık yer almalıdır. Başlık büyük harflerle, 14 punto ve kalın olarak yazılmalıdır. Başlık sola hizalı olmalı ve uzunluğu 10 kelimeyi aşmamalıdır. Başlıktan sonra bir satır boşluk bırakılmalıdır (14 punto).</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Abstract:</w:t>
      </w:r>
      <w:r w:rsidRPr="00907EDD">
        <w:rPr>
          <w:rFonts w:ascii="Times New Roman" w:hAnsi="Times New Roman"/>
          <w:sz w:val="24"/>
          <w:szCs w:val="24"/>
        </w:rPr>
        <w:t xml:space="preserve"> İngilizce olarak yazılmalıdır. “Abstract” şeklindeki başlık 11 punto, koyu ve sola dayalı olarak yazılmalıdır. Abstract metni, 11 punto ve iki yana dayalı olarak yazılmalıdır. Ayrıca abstract metni bir paragraf halinde, 150-250 kelime arasında olmalıdır. (11 punto).</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Keywords:</w:t>
      </w:r>
      <w:r w:rsidRPr="00907EDD">
        <w:rPr>
          <w:rFonts w:ascii="Times New Roman" w:hAnsi="Times New Roman"/>
          <w:sz w:val="24"/>
          <w:szCs w:val="24"/>
        </w:rPr>
        <w:t xml:space="preserve"> Abstract’ın altına İngilizce olarak örnekteki şekilde yazılmalıdır. “Keywords”, 11 punto, italik ve sola dayalı olarak yazılmalıdır. “Keywords” en fazla 6 tane olmalı, alfabetik sırayla dizilmeli, sadece ilk kelimenin ilk harfi büyük diğer harfler küçük olacak şekilde ve virgülle ayrılmalıdır. Sonrasında tek satır boşluk bırakılmalıdır (11 punto).</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 xml:space="preserve">Bölüm Başlıkları: </w:t>
      </w:r>
      <w:r w:rsidRPr="00907EDD">
        <w:rPr>
          <w:rFonts w:ascii="Times New Roman" w:hAnsi="Times New Roman"/>
          <w:sz w:val="24"/>
          <w:szCs w:val="24"/>
        </w:rPr>
        <w:t>Makalede yer alan başlıklar numaralandırılmalıdır. Ana başlıklar büyük harflerle ve koyu yazılmalıdır. Birinci alt başlık, koyu ve kelimelerin ilk harfleri büyük olarak yazılmalıdır. İkinci alt başlık, koyu ve sadece ilk kelimenin ilk harfi büyük olarak yazılmalıdır. Üçüncü alt başlık, koyu, italik ve sadece ilk kelimenin ilk harfi büyük olarak yazılmalıdır. Ana başlıklardan önce iki satır, diğer başlıklardan önce bir satır boşluk bırakılmalıdır. Bölüm başlıklarının yazımı aşağıdaki örnekte gösterilmektedir.</w:t>
      </w:r>
    </w:p>
    <w:p w:rsidR="00907EDD" w:rsidRPr="00907EDD" w:rsidRDefault="00907EDD" w:rsidP="00907EDD">
      <w:pPr>
        <w:numPr>
          <w:ilvl w:val="0"/>
          <w:numId w:val="15"/>
        </w:numPr>
        <w:spacing w:before="240" w:after="240" w:line="240" w:lineRule="auto"/>
        <w:jc w:val="both"/>
        <w:rPr>
          <w:rFonts w:ascii="Times New Roman" w:hAnsi="Times New Roman"/>
          <w:b/>
          <w:sz w:val="24"/>
          <w:szCs w:val="24"/>
        </w:rPr>
      </w:pPr>
      <w:r w:rsidRPr="00907EDD">
        <w:rPr>
          <w:rFonts w:ascii="Times New Roman" w:hAnsi="Times New Roman"/>
          <w:b/>
          <w:sz w:val="24"/>
          <w:szCs w:val="24"/>
        </w:rPr>
        <w:t>METODOLOJİ</w:t>
      </w:r>
    </w:p>
    <w:p w:rsidR="00907EDD" w:rsidRPr="00907EDD" w:rsidRDefault="00907EDD" w:rsidP="00907EDD">
      <w:pPr>
        <w:numPr>
          <w:ilvl w:val="1"/>
          <w:numId w:val="15"/>
        </w:numPr>
        <w:spacing w:before="120" w:after="120" w:line="240" w:lineRule="auto"/>
        <w:jc w:val="both"/>
        <w:rPr>
          <w:rFonts w:ascii="Times New Roman" w:hAnsi="Times New Roman"/>
          <w:b/>
          <w:sz w:val="24"/>
          <w:szCs w:val="24"/>
        </w:rPr>
      </w:pPr>
      <w:r w:rsidRPr="00907EDD">
        <w:rPr>
          <w:rFonts w:ascii="Times New Roman" w:hAnsi="Times New Roman"/>
          <w:b/>
          <w:sz w:val="24"/>
          <w:szCs w:val="24"/>
        </w:rPr>
        <w:t>Deney Düzeneği</w:t>
      </w:r>
    </w:p>
    <w:p w:rsidR="00907EDD" w:rsidRPr="00907EDD" w:rsidRDefault="00907EDD" w:rsidP="00907EDD">
      <w:pPr>
        <w:numPr>
          <w:ilvl w:val="2"/>
          <w:numId w:val="15"/>
        </w:numPr>
        <w:spacing w:before="120" w:after="120" w:line="240" w:lineRule="auto"/>
        <w:jc w:val="both"/>
        <w:rPr>
          <w:rFonts w:ascii="Times New Roman" w:hAnsi="Times New Roman"/>
          <w:b/>
          <w:sz w:val="24"/>
          <w:szCs w:val="24"/>
        </w:rPr>
      </w:pPr>
      <w:r w:rsidRPr="00907EDD">
        <w:rPr>
          <w:rFonts w:ascii="Times New Roman" w:hAnsi="Times New Roman"/>
          <w:b/>
          <w:sz w:val="24"/>
          <w:szCs w:val="24"/>
        </w:rPr>
        <w:t>Kullanılan aletler</w:t>
      </w:r>
    </w:p>
    <w:p w:rsidR="00907EDD" w:rsidRPr="00907EDD" w:rsidRDefault="00907EDD" w:rsidP="00907EDD">
      <w:pPr>
        <w:numPr>
          <w:ilvl w:val="3"/>
          <w:numId w:val="15"/>
        </w:numPr>
        <w:spacing w:before="120" w:after="120" w:line="240" w:lineRule="auto"/>
        <w:ind w:left="2552" w:hanging="850"/>
        <w:jc w:val="both"/>
        <w:rPr>
          <w:rFonts w:ascii="Times New Roman" w:hAnsi="Times New Roman"/>
          <w:b/>
          <w:i/>
          <w:sz w:val="24"/>
          <w:szCs w:val="24"/>
        </w:rPr>
      </w:pPr>
      <w:r w:rsidRPr="00907EDD">
        <w:rPr>
          <w:rFonts w:ascii="Times New Roman" w:hAnsi="Times New Roman"/>
          <w:b/>
          <w:i/>
          <w:sz w:val="24"/>
          <w:szCs w:val="24"/>
        </w:rPr>
        <w:t>Aletlerin özellikleri</w:t>
      </w:r>
    </w:p>
    <w:p w:rsidR="00907EDD" w:rsidRPr="00907EDD" w:rsidRDefault="00907EDD" w:rsidP="00907EDD">
      <w:pPr>
        <w:numPr>
          <w:ilvl w:val="1"/>
          <w:numId w:val="15"/>
        </w:numPr>
        <w:spacing w:before="120" w:after="120" w:line="240" w:lineRule="auto"/>
        <w:jc w:val="both"/>
        <w:rPr>
          <w:rFonts w:ascii="Times New Roman" w:hAnsi="Times New Roman"/>
          <w:b/>
          <w:sz w:val="24"/>
          <w:szCs w:val="24"/>
        </w:rPr>
      </w:pPr>
      <w:r w:rsidRPr="00907EDD">
        <w:rPr>
          <w:rFonts w:ascii="Times New Roman" w:hAnsi="Times New Roman"/>
          <w:b/>
          <w:sz w:val="24"/>
          <w:szCs w:val="24"/>
        </w:rPr>
        <w:t>Kullanılan Malzemeler</w:t>
      </w:r>
    </w:p>
    <w:p w:rsidR="00907EDD" w:rsidRPr="00907EDD" w:rsidRDefault="00907EDD" w:rsidP="00907EDD">
      <w:pPr>
        <w:spacing w:before="120" w:after="120" w:line="240" w:lineRule="auto"/>
        <w:ind w:left="720"/>
        <w:jc w:val="both"/>
        <w:rPr>
          <w:rFonts w:ascii="Times New Roman" w:hAnsi="Times New Roman"/>
          <w:b/>
          <w:sz w:val="24"/>
          <w:szCs w:val="24"/>
        </w:rPr>
      </w:pPr>
    </w:p>
    <w:p w:rsidR="00907EDD" w:rsidRPr="00907EDD" w:rsidRDefault="00907EDD" w:rsidP="00907EDD">
      <w:pPr>
        <w:numPr>
          <w:ilvl w:val="0"/>
          <w:numId w:val="17"/>
        </w:numPr>
        <w:spacing w:before="120" w:after="120" w:line="240" w:lineRule="auto"/>
        <w:jc w:val="both"/>
        <w:rPr>
          <w:rFonts w:ascii="Times New Roman" w:hAnsi="Times New Roman"/>
          <w:b/>
          <w:sz w:val="24"/>
          <w:szCs w:val="24"/>
        </w:rPr>
      </w:pPr>
      <w:r w:rsidRPr="00907EDD">
        <w:rPr>
          <w:rFonts w:ascii="Times New Roman" w:hAnsi="Times New Roman"/>
          <w:b/>
          <w:sz w:val="24"/>
          <w:szCs w:val="24"/>
        </w:rPr>
        <w:t>Makale Metni Yazımı</w:t>
      </w:r>
    </w:p>
    <w:p w:rsidR="00907EDD" w:rsidRPr="00907EDD" w:rsidRDefault="00907EDD" w:rsidP="00907EDD">
      <w:pPr>
        <w:spacing w:before="120" w:after="120" w:line="240" w:lineRule="auto"/>
        <w:jc w:val="both"/>
        <w:rPr>
          <w:rFonts w:ascii="Times New Roman" w:hAnsi="Times New Roman"/>
          <w:sz w:val="24"/>
          <w:szCs w:val="24"/>
        </w:rPr>
      </w:pPr>
      <w:r w:rsidRPr="00907EDD">
        <w:rPr>
          <w:rFonts w:ascii="Times New Roman" w:hAnsi="Times New Roman"/>
          <w:sz w:val="24"/>
          <w:szCs w:val="24"/>
        </w:rPr>
        <w:t xml:space="preserve">Makale metni 12 punto ile iki yana dayalı olarak ve tek sütun halinde yazılmalıdır. Metinde, tablo ve şekiller hariç, Garamond yazı tipi kullanılmalıdır. </w:t>
      </w:r>
    </w:p>
    <w:p w:rsidR="00907EDD" w:rsidRPr="00907EDD" w:rsidRDefault="00907EDD" w:rsidP="00907EDD">
      <w:pPr>
        <w:numPr>
          <w:ilvl w:val="0"/>
          <w:numId w:val="15"/>
        </w:numPr>
        <w:spacing w:before="240" w:after="240" w:line="240" w:lineRule="auto"/>
        <w:ind w:left="425" w:hanging="357"/>
        <w:jc w:val="both"/>
        <w:rPr>
          <w:rFonts w:ascii="Times New Roman" w:hAnsi="Times New Roman"/>
          <w:b/>
          <w:sz w:val="24"/>
          <w:szCs w:val="24"/>
        </w:rPr>
      </w:pPr>
      <w:r w:rsidRPr="00907EDD">
        <w:rPr>
          <w:rFonts w:ascii="Times New Roman" w:hAnsi="Times New Roman"/>
          <w:b/>
          <w:sz w:val="24"/>
          <w:szCs w:val="24"/>
        </w:rPr>
        <w:t>ŞEKİLLER</w:t>
      </w:r>
    </w:p>
    <w:p w:rsidR="00907EDD" w:rsidRPr="00907EDD" w:rsidRDefault="00907EDD" w:rsidP="00907EDD">
      <w:pPr>
        <w:spacing w:before="120" w:after="120" w:line="240" w:lineRule="auto"/>
        <w:jc w:val="both"/>
        <w:rPr>
          <w:rFonts w:ascii="Times New Roman" w:hAnsi="Times New Roman"/>
          <w:sz w:val="24"/>
          <w:szCs w:val="24"/>
        </w:rPr>
      </w:pPr>
      <w:r w:rsidRPr="00907EDD">
        <w:rPr>
          <w:rFonts w:ascii="Times New Roman" w:hAnsi="Times New Roman"/>
          <w:sz w:val="24"/>
          <w:szCs w:val="24"/>
        </w:rPr>
        <w:t>Makalede kullanılacak şekil, fotoğraf, çizim ve grafikler “Şekil” olarak adlandırılmalı metin içinde Şekil 1, Şekil 2, Şekil 3 vs olarak numaralandırılmalıdır. Şekiller metin içinde belirtilmeli ve belirtildiği yerden sonra metne eklenmelidir. Şekillerden önce bir satır boşluk bırakılmalıdır (12 punto). Şekillerden sonra bir satır boşluk (12 punto) bırakılmalı ve şekil başlığı yazılmalıdır. Şekil numarası koyu harflerle ve ardından şekil başlığının sadece ilk harfi büyük olacak şekilde yazılmalıdır. Şekil başlığından sonra yine bir satır boşluk (12 punto) bırakılmalıdır. Şekiller ve başlıkları metin içinde sola hizalanarak yazılmalıdır. Şekil içindeki metin en az 8 punto olmalıdır. Şekillerde Times New Roman veya Garamond yazı tipi kullanılmalıdır. Şekil örneği aşağıda gösterilmektedir.</w:t>
      </w:r>
    </w:p>
    <w:p w:rsidR="00907EDD" w:rsidRPr="00907EDD" w:rsidRDefault="00907EDD" w:rsidP="00907EDD">
      <w:pPr>
        <w:spacing w:line="240" w:lineRule="auto"/>
        <w:jc w:val="center"/>
        <w:rPr>
          <w:rFonts w:ascii="Times New Roman" w:hAnsi="Times New Roman"/>
          <w:sz w:val="24"/>
          <w:szCs w:val="24"/>
        </w:rPr>
      </w:pPr>
      <w:r w:rsidRPr="00907EDD">
        <w:rPr>
          <w:rFonts w:ascii="Times New Roman" w:hAnsi="Times New Roman"/>
          <w:noProof/>
          <w:sz w:val="24"/>
          <w:szCs w:val="24"/>
          <w:lang w:val="en-AU" w:eastAsia="en-AU"/>
        </w:rPr>
        <w:lastRenderedPageBreak/>
        <w:drawing>
          <wp:inline distT="0" distB="0" distL="0" distR="0" wp14:anchorId="36352FAE" wp14:editId="31730512">
            <wp:extent cx="4203700" cy="2624455"/>
            <wp:effectExtent l="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srcRect/>
                    <a:stretch>
                      <a:fillRect/>
                    </a:stretch>
                  </pic:blipFill>
                  <pic:spPr bwMode="auto">
                    <a:xfrm>
                      <a:off x="0" y="0"/>
                      <a:ext cx="4203700" cy="2624455"/>
                    </a:xfrm>
                    <a:prstGeom prst="rect">
                      <a:avLst/>
                    </a:prstGeom>
                    <a:noFill/>
                    <a:ln w="9525">
                      <a:noFill/>
                      <a:miter lim="800000"/>
                      <a:headEnd/>
                      <a:tailEnd/>
                    </a:ln>
                  </pic:spPr>
                </pic:pic>
              </a:graphicData>
            </a:graphic>
          </wp:inline>
        </w:drawing>
      </w:r>
    </w:p>
    <w:p w:rsidR="00907EDD" w:rsidRPr="00907EDD" w:rsidRDefault="00907EDD" w:rsidP="00907EDD">
      <w:pPr>
        <w:tabs>
          <w:tab w:val="left" w:pos="851"/>
        </w:tabs>
        <w:spacing w:line="240" w:lineRule="auto"/>
        <w:ind w:left="851" w:hanging="851"/>
        <w:rPr>
          <w:rFonts w:ascii="Times New Roman" w:hAnsi="Times New Roman"/>
          <w:sz w:val="24"/>
          <w:szCs w:val="24"/>
        </w:rPr>
      </w:pPr>
      <w:r w:rsidRPr="00907EDD">
        <w:rPr>
          <w:rFonts w:ascii="Times New Roman" w:hAnsi="Times New Roman"/>
          <w:b/>
          <w:sz w:val="24"/>
          <w:szCs w:val="24"/>
        </w:rPr>
        <w:t>Şekil 1.</w:t>
      </w:r>
      <w:r w:rsidRPr="00907EDD">
        <w:rPr>
          <w:rFonts w:ascii="Times New Roman" w:hAnsi="Times New Roman"/>
          <w:b/>
          <w:sz w:val="24"/>
          <w:szCs w:val="24"/>
        </w:rPr>
        <w:tab/>
      </w:r>
      <w:r w:rsidRPr="00907EDD">
        <w:rPr>
          <w:rFonts w:ascii="Times New Roman" w:hAnsi="Times New Roman"/>
          <w:sz w:val="24"/>
          <w:szCs w:val="24"/>
        </w:rPr>
        <w:t>0,02 N ve 0,04 N sentetik bakır çözeltisi kolon çıkış suyundaki bakır konsantrasyonunun zamanla değişimi</w:t>
      </w:r>
    </w:p>
    <w:p w:rsidR="00907EDD" w:rsidRPr="00907EDD" w:rsidRDefault="00907EDD" w:rsidP="00907EDD">
      <w:pPr>
        <w:tabs>
          <w:tab w:val="left" w:pos="851"/>
        </w:tabs>
        <w:spacing w:line="240" w:lineRule="auto"/>
        <w:ind w:left="851" w:hanging="851"/>
        <w:rPr>
          <w:rFonts w:ascii="Times New Roman" w:hAnsi="Times New Roman"/>
          <w:sz w:val="24"/>
          <w:szCs w:val="24"/>
        </w:rPr>
      </w:pPr>
    </w:p>
    <w:p w:rsidR="00907EDD" w:rsidRPr="00907EDD" w:rsidRDefault="00907EDD" w:rsidP="00907EDD">
      <w:pPr>
        <w:numPr>
          <w:ilvl w:val="0"/>
          <w:numId w:val="15"/>
        </w:numPr>
        <w:spacing w:before="240" w:after="240" w:line="240" w:lineRule="auto"/>
        <w:ind w:left="425" w:hanging="357"/>
        <w:rPr>
          <w:rFonts w:ascii="Times New Roman" w:hAnsi="Times New Roman"/>
          <w:b/>
          <w:sz w:val="24"/>
          <w:szCs w:val="24"/>
        </w:rPr>
      </w:pPr>
      <w:r w:rsidRPr="00907EDD">
        <w:rPr>
          <w:rFonts w:ascii="Times New Roman" w:hAnsi="Times New Roman"/>
          <w:b/>
          <w:sz w:val="24"/>
          <w:szCs w:val="24"/>
        </w:rPr>
        <w:t>TABLOLAR</w:t>
      </w:r>
    </w:p>
    <w:p w:rsidR="00907EDD" w:rsidRPr="00907EDD" w:rsidRDefault="00907EDD" w:rsidP="00907EDD">
      <w:pPr>
        <w:spacing w:before="120" w:after="120" w:line="240" w:lineRule="auto"/>
        <w:jc w:val="both"/>
        <w:rPr>
          <w:rFonts w:ascii="Times New Roman" w:hAnsi="Times New Roman"/>
          <w:sz w:val="24"/>
          <w:szCs w:val="24"/>
        </w:rPr>
      </w:pPr>
      <w:r w:rsidRPr="00907EDD">
        <w:rPr>
          <w:rFonts w:ascii="Times New Roman" w:hAnsi="Times New Roman"/>
          <w:sz w:val="24"/>
          <w:szCs w:val="24"/>
        </w:rPr>
        <w:t>Makalede kullanılacak tablolar “Tablo” olarak adlandırılmalı metin içinde Tablo 1, Tablo 2, Tablo 3 vs olarak numaralandırılmalıdır. Tablolar metin içinde belirtilmeli ve belirtildiği yerden sonra metne eklenmelidir. Tablolar üstte tablo numarası ve başlığı olacak şekilde yazılmalıdır. Tablo numarası koyu harflerle ve ardından tablo başlığının sadece ilk harfi büyük olacak şekilde yazılmalıdır. Tablo eklendikten sonra bir satır boşluk (12 punto) bırakılmalı ve metne bundan sonra devam edilmelidir. Tablolar ve başlıkları metin içinde sola hizalanarak yazılmalıdır. Tablonun yatay ve dikey çizgileri çizilmeli, tablo içindeki başlıklar koyu harflerle yazılmalıdır. Tablolarda Times New Roman veya Garamond yazı tipi kullanılmalı, yazılar en az 8 punto olmalıdır. Tablo örneği aşağıda verilmiştir.</w:t>
      </w: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line="240" w:lineRule="auto"/>
        <w:rPr>
          <w:rFonts w:ascii="Times New Roman" w:hAnsi="Times New Roman"/>
          <w:sz w:val="24"/>
          <w:szCs w:val="24"/>
        </w:rPr>
      </w:pPr>
      <w:r w:rsidRPr="00907EDD">
        <w:rPr>
          <w:rFonts w:ascii="Times New Roman" w:hAnsi="Times New Roman"/>
          <w:b/>
          <w:sz w:val="24"/>
          <w:szCs w:val="24"/>
        </w:rPr>
        <w:t>Tablo 1.</w:t>
      </w:r>
      <w:r w:rsidRPr="00907EDD">
        <w:rPr>
          <w:rFonts w:ascii="Times New Roman" w:hAnsi="Times New Roman"/>
          <w:sz w:val="24"/>
          <w:szCs w:val="24"/>
        </w:rPr>
        <w:t xml:space="preserve"> Manisa-Gördeş klinoptilolitinin özellikleri</w:t>
      </w:r>
    </w:p>
    <w:p w:rsidR="00907EDD" w:rsidRPr="00907EDD" w:rsidRDefault="00907EDD" w:rsidP="00907EDD">
      <w:pPr>
        <w:spacing w:after="0" w:line="240" w:lineRule="auto"/>
        <w:rPr>
          <w:rFonts w:ascii="Times New Roman" w:hAnsi="Times New Roman"/>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961"/>
      </w:tblGrid>
      <w:tr w:rsidR="00907EDD" w:rsidRPr="00907EDD" w:rsidTr="004E1C26">
        <w:tc>
          <w:tcPr>
            <w:tcW w:w="2439" w:type="dxa"/>
          </w:tcPr>
          <w:p w:rsidR="00907EDD" w:rsidRPr="00907EDD" w:rsidRDefault="00907EDD" w:rsidP="004E1C26">
            <w:pPr>
              <w:spacing w:after="0" w:line="240" w:lineRule="auto"/>
              <w:jc w:val="center"/>
              <w:rPr>
                <w:rFonts w:ascii="Times New Roman" w:hAnsi="Times New Roman"/>
                <w:b/>
                <w:sz w:val="20"/>
                <w:szCs w:val="20"/>
              </w:rPr>
            </w:pPr>
            <w:r w:rsidRPr="00907EDD">
              <w:rPr>
                <w:rFonts w:ascii="Times New Roman" w:hAnsi="Times New Roman"/>
                <w:b/>
                <w:sz w:val="20"/>
                <w:szCs w:val="20"/>
              </w:rPr>
              <w:t>Element</w:t>
            </w:r>
          </w:p>
        </w:tc>
        <w:tc>
          <w:tcPr>
            <w:tcW w:w="2961" w:type="dxa"/>
          </w:tcPr>
          <w:p w:rsidR="00907EDD" w:rsidRPr="00907EDD" w:rsidRDefault="00907EDD" w:rsidP="004E1C26">
            <w:pPr>
              <w:spacing w:after="0" w:line="240" w:lineRule="auto"/>
              <w:jc w:val="center"/>
              <w:rPr>
                <w:rFonts w:ascii="Times New Roman" w:hAnsi="Times New Roman"/>
                <w:b/>
                <w:sz w:val="20"/>
                <w:szCs w:val="20"/>
              </w:rPr>
            </w:pPr>
            <w:r w:rsidRPr="00907EDD">
              <w:rPr>
                <w:rFonts w:ascii="Times New Roman" w:hAnsi="Times New Roman"/>
                <w:b/>
                <w:sz w:val="20"/>
                <w:szCs w:val="20"/>
              </w:rPr>
              <w:t>Kompozisyon (%)</w:t>
            </w:r>
          </w:p>
        </w:tc>
      </w:tr>
      <w:tr w:rsidR="00907EDD" w:rsidRPr="00907EDD" w:rsidTr="004E1C26">
        <w:tc>
          <w:tcPr>
            <w:tcW w:w="2439"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SiO</w:t>
            </w:r>
            <w:r w:rsidRPr="00907EDD">
              <w:rPr>
                <w:rFonts w:ascii="Times New Roman" w:hAnsi="Times New Roman"/>
                <w:sz w:val="20"/>
                <w:szCs w:val="20"/>
                <w:vertAlign w:val="subscript"/>
              </w:rPr>
              <w:t>2</w:t>
            </w:r>
          </w:p>
        </w:tc>
        <w:tc>
          <w:tcPr>
            <w:tcW w:w="2961"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68,30</w:t>
            </w:r>
          </w:p>
        </w:tc>
      </w:tr>
      <w:tr w:rsidR="00907EDD" w:rsidRPr="00907EDD" w:rsidTr="004E1C26">
        <w:tc>
          <w:tcPr>
            <w:tcW w:w="2439"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Al</w:t>
            </w:r>
            <w:r w:rsidRPr="00907EDD">
              <w:rPr>
                <w:rFonts w:ascii="Times New Roman" w:hAnsi="Times New Roman"/>
                <w:sz w:val="20"/>
                <w:szCs w:val="20"/>
                <w:vertAlign w:val="subscript"/>
              </w:rPr>
              <w:t>2</w:t>
            </w:r>
            <w:r w:rsidRPr="00907EDD">
              <w:rPr>
                <w:rFonts w:ascii="Times New Roman" w:hAnsi="Times New Roman"/>
                <w:sz w:val="20"/>
                <w:szCs w:val="20"/>
              </w:rPr>
              <w:t>O</w:t>
            </w:r>
            <w:r w:rsidRPr="00907EDD">
              <w:rPr>
                <w:rFonts w:ascii="Times New Roman" w:hAnsi="Times New Roman"/>
                <w:sz w:val="20"/>
                <w:szCs w:val="20"/>
                <w:vertAlign w:val="subscript"/>
              </w:rPr>
              <w:t>3</w:t>
            </w:r>
          </w:p>
        </w:tc>
        <w:tc>
          <w:tcPr>
            <w:tcW w:w="2961"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17,50</w:t>
            </w:r>
          </w:p>
        </w:tc>
      </w:tr>
      <w:tr w:rsidR="00907EDD" w:rsidRPr="00907EDD" w:rsidTr="004E1C26">
        <w:tc>
          <w:tcPr>
            <w:tcW w:w="2439"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Fe</w:t>
            </w:r>
            <w:r w:rsidRPr="00907EDD">
              <w:rPr>
                <w:rFonts w:ascii="Times New Roman" w:hAnsi="Times New Roman"/>
                <w:sz w:val="20"/>
                <w:szCs w:val="20"/>
                <w:vertAlign w:val="subscript"/>
              </w:rPr>
              <w:t>2</w:t>
            </w:r>
            <w:r w:rsidRPr="00907EDD">
              <w:rPr>
                <w:rFonts w:ascii="Times New Roman" w:hAnsi="Times New Roman"/>
                <w:sz w:val="20"/>
                <w:szCs w:val="20"/>
              </w:rPr>
              <w:t>O</w:t>
            </w:r>
            <w:r w:rsidRPr="00907EDD">
              <w:rPr>
                <w:rFonts w:ascii="Times New Roman" w:hAnsi="Times New Roman"/>
                <w:sz w:val="20"/>
                <w:szCs w:val="20"/>
                <w:vertAlign w:val="subscript"/>
              </w:rPr>
              <w:t>3</w:t>
            </w:r>
          </w:p>
        </w:tc>
        <w:tc>
          <w:tcPr>
            <w:tcW w:w="2961"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1,60</w:t>
            </w:r>
          </w:p>
        </w:tc>
      </w:tr>
      <w:tr w:rsidR="00907EDD" w:rsidRPr="00907EDD" w:rsidTr="004E1C26">
        <w:tc>
          <w:tcPr>
            <w:tcW w:w="2439"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TiO</w:t>
            </w:r>
            <w:r w:rsidRPr="00907EDD">
              <w:rPr>
                <w:rFonts w:ascii="Times New Roman" w:hAnsi="Times New Roman"/>
                <w:sz w:val="20"/>
                <w:szCs w:val="20"/>
                <w:vertAlign w:val="subscript"/>
              </w:rPr>
              <w:t>2</w:t>
            </w:r>
          </w:p>
        </w:tc>
        <w:tc>
          <w:tcPr>
            <w:tcW w:w="2961"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0,35</w:t>
            </w:r>
          </w:p>
        </w:tc>
      </w:tr>
      <w:tr w:rsidR="00907EDD" w:rsidRPr="00907EDD" w:rsidTr="004E1C26">
        <w:tc>
          <w:tcPr>
            <w:tcW w:w="2439"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Na</w:t>
            </w:r>
            <w:r w:rsidRPr="00907EDD">
              <w:rPr>
                <w:rFonts w:ascii="Times New Roman" w:hAnsi="Times New Roman"/>
                <w:sz w:val="20"/>
                <w:szCs w:val="20"/>
                <w:vertAlign w:val="subscript"/>
              </w:rPr>
              <w:t>2</w:t>
            </w:r>
            <w:r w:rsidRPr="00907EDD">
              <w:rPr>
                <w:rFonts w:ascii="Times New Roman" w:hAnsi="Times New Roman"/>
                <w:sz w:val="20"/>
                <w:szCs w:val="20"/>
              </w:rPr>
              <w:t>O</w:t>
            </w:r>
          </w:p>
        </w:tc>
        <w:tc>
          <w:tcPr>
            <w:tcW w:w="2961"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0,13</w:t>
            </w:r>
          </w:p>
        </w:tc>
      </w:tr>
      <w:tr w:rsidR="00907EDD" w:rsidRPr="00907EDD" w:rsidTr="004E1C26">
        <w:tc>
          <w:tcPr>
            <w:tcW w:w="2439"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K</w:t>
            </w:r>
            <w:r w:rsidRPr="00907EDD">
              <w:rPr>
                <w:rFonts w:ascii="Times New Roman" w:hAnsi="Times New Roman"/>
                <w:sz w:val="20"/>
                <w:szCs w:val="20"/>
                <w:vertAlign w:val="subscript"/>
              </w:rPr>
              <w:t>2</w:t>
            </w:r>
            <w:r w:rsidRPr="00907EDD">
              <w:rPr>
                <w:rFonts w:ascii="Times New Roman" w:hAnsi="Times New Roman"/>
                <w:sz w:val="20"/>
                <w:szCs w:val="20"/>
              </w:rPr>
              <w:t>O</w:t>
            </w:r>
          </w:p>
        </w:tc>
        <w:tc>
          <w:tcPr>
            <w:tcW w:w="2961"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3,55</w:t>
            </w:r>
          </w:p>
        </w:tc>
      </w:tr>
      <w:tr w:rsidR="00907EDD" w:rsidRPr="00907EDD" w:rsidTr="004E1C26">
        <w:tc>
          <w:tcPr>
            <w:tcW w:w="2439"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CaO</w:t>
            </w:r>
          </w:p>
        </w:tc>
        <w:tc>
          <w:tcPr>
            <w:tcW w:w="2961"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0,65</w:t>
            </w:r>
          </w:p>
        </w:tc>
      </w:tr>
      <w:tr w:rsidR="00907EDD" w:rsidRPr="00907EDD" w:rsidTr="004E1C26">
        <w:tc>
          <w:tcPr>
            <w:tcW w:w="2439"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MgO</w:t>
            </w:r>
          </w:p>
        </w:tc>
        <w:tc>
          <w:tcPr>
            <w:tcW w:w="2961"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0,60</w:t>
            </w:r>
          </w:p>
        </w:tc>
      </w:tr>
      <w:tr w:rsidR="00907EDD" w:rsidRPr="00907EDD" w:rsidTr="004E1C26">
        <w:tc>
          <w:tcPr>
            <w:tcW w:w="2439"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SO</w:t>
            </w:r>
            <w:r w:rsidRPr="00907EDD">
              <w:rPr>
                <w:rFonts w:ascii="Times New Roman" w:hAnsi="Times New Roman"/>
                <w:sz w:val="20"/>
                <w:szCs w:val="20"/>
                <w:vertAlign w:val="subscript"/>
              </w:rPr>
              <w:t>3</w:t>
            </w:r>
          </w:p>
        </w:tc>
        <w:tc>
          <w:tcPr>
            <w:tcW w:w="2961" w:type="dxa"/>
          </w:tcPr>
          <w:p w:rsidR="00907EDD" w:rsidRPr="00907EDD" w:rsidRDefault="00907EDD" w:rsidP="004E1C26">
            <w:pPr>
              <w:spacing w:after="0" w:line="240" w:lineRule="auto"/>
              <w:jc w:val="center"/>
              <w:rPr>
                <w:rFonts w:ascii="Times New Roman" w:hAnsi="Times New Roman"/>
                <w:sz w:val="20"/>
                <w:szCs w:val="20"/>
              </w:rPr>
            </w:pPr>
            <w:r w:rsidRPr="00907EDD">
              <w:rPr>
                <w:rFonts w:ascii="Times New Roman" w:hAnsi="Times New Roman"/>
                <w:sz w:val="20"/>
                <w:szCs w:val="20"/>
              </w:rPr>
              <w:t>0,61</w:t>
            </w:r>
          </w:p>
        </w:tc>
      </w:tr>
    </w:tbl>
    <w:p w:rsidR="00907EDD" w:rsidRPr="00907EDD" w:rsidRDefault="00907EDD" w:rsidP="00907EDD">
      <w:pPr>
        <w:spacing w:after="240" w:line="240" w:lineRule="auto"/>
        <w:ind w:left="425"/>
        <w:rPr>
          <w:rFonts w:ascii="Times New Roman" w:hAnsi="Times New Roman"/>
          <w:b/>
          <w:sz w:val="24"/>
          <w:szCs w:val="24"/>
        </w:rPr>
      </w:pPr>
    </w:p>
    <w:p w:rsidR="00907EDD" w:rsidRPr="00907EDD" w:rsidRDefault="00907EDD" w:rsidP="00907EDD">
      <w:pPr>
        <w:spacing w:after="240" w:line="240" w:lineRule="auto"/>
        <w:ind w:left="425"/>
        <w:rPr>
          <w:rFonts w:ascii="Times New Roman" w:hAnsi="Times New Roman"/>
          <w:b/>
          <w:sz w:val="24"/>
          <w:szCs w:val="24"/>
        </w:rPr>
      </w:pPr>
    </w:p>
    <w:p w:rsidR="00907EDD" w:rsidRPr="00907EDD" w:rsidRDefault="00907EDD" w:rsidP="00907EDD">
      <w:pPr>
        <w:numPr>
          <w:ilvl w:val="0"/>
          <w:numId w:val="15"/>
        </w:numPr>
        <w:spacing w:after="240" w:line="240" w:lineRule="auto"/>
        <w:ind w:left="425" w:hanging="357"/>
        <w:rPr>
          <w:rFonts w:ascii="Times New Roman" w:hAnsi="Times New Roman"/>
          <w:b/>
          <w:sz w:val="24"/>
          <w:szCs w:val="24"/>
        </w:rPr>
      </w:pPr>
      <w:r w:rsidRPr="00907EDD">
        <w:rPr>
          <w:rFonts w:ascii="Times New Roman" w:hAnsi="Times New Roman"/>
          <w:b/>
          <w:sz w:val="24"/>
          <w:szCs w:val="24"/>
        </w:rPr>
        <w:t>DİPNOT</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Metinde dipnot kullanılmamalıdır.</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b/>
          <w:sz w:val="24"/>
          <w:szCs w:val="24"/>
        </w:rPr>
        <w:lastRenderedPageBreak/>
        <w:t>KAYNAKLAR</w:t>
      </w:r>
    </w:p>
    <w:p w:rsidR="00907EDD" w:rsidRPr="00907EDD" w:rsidRDefault="00907EDD" w:rsidP="00907EDD">
      <w:pPr>
        <w:spacing w:before="120" w:after="120" w:line="240" w:lineRule="auto"/>
        <w:jc w:val="both"/>
        <w:rPr>
          <w:rFonts w:ascii="Times New Roman" w:hAnsi="Times New Roman"/>
          <w:sz w:val="24"/>
          <w:szCs w:val="24"/>
        </w:rPr>
      </w:pPr>
      <w:r w:rsidRPr="00907EDD">
        <w:rPr>
          <w:rFonts w:ascii="Times New Roman" w:hAnsi="Times New Roman"/>
          <w:sz w:val="24"/>
          <w:szCs w:val="24"/>
        </w:rPr>
        <w:t xml:space="preserve">Metin içinde kaynaklar cümle içinde “... Hopkins (1990) ...” veya cümle sonunda (Hopkins, 1990) şeklinde yazar soyadı ve yayın yılı belirtilerek verilmelidir. Aynı konuya birden fazla kaynak gösterilecek ise kaynaklar tarih sırasıyla eskiden yeniye doğru belirtilmelidir (Hopkins, 1990; Ferguson, 1991). Bir yazarlı kaynaklar (Hopkins, 1990), iki yazarlı kaynaklar (Alagöz ve Kocasoy, 2008), üç veya daha fazla yazarlı kaynaklar (Yılmaz vd., 2008) olarak belirtilmelidir. Metnin sonunda 10 punto ile yazılmış  “KAYNAKLAR” bölümü bulunmalı ve ilk yazar soyadına göre alfabetik olarak sıralanmalıdır. Kaynaklar aşağıdaki şekilde yazılmalıdır. Kaynaklar sonrasında </w:t>
      </w:r>
      <w:smartTag w:uri="urn:schemas-microsoft-com:office:smarttags" w:element="metricconverter">
        <w:smartTagPr>
          <w:attr w:name="ProductID" w:val="6 pt"/>
        </w:smartTagPr>
        <w:r w:rsidRPr="00907EDD">
          <w:rPr>
            <w:rFonts w:ascii="Times New Roman" w:hAnsi="Times New Roman"/>
            <w:sz w:val="24"/>
            <w:szCs w:val="24"/>
          </w:rPr>
          <w:t>6 pt</w:t>
        </w:r>
      </w:smartTag>
      <w:r w:rsidRPr="00907EDD">
        <w:rPr>
          <w:rFonts w:ascii="Times New Roman" w:hAnsi="Times New Roman"/>
          <w:sz w:val="24"/>
          <w:szCs w:val="24"/>
        </w:rPr>
        <w:t xml:space="preserve"> aralıkla yazılmalıdır. </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Kitaplar:</w:t>
      </w:r>
      <w:r w:rsidRPr="00907EDD">
        <w:rPr>
          <w:rFonts w:ascii="Times New Roman" w:hAnsi="Times New Roman"/>
          <w:sz w:val="24"/>
          <w:szCs w:val="24"/>
        </w:rPr>
        <w:t xml:space="preserve"> Eckenfelder, W.W. Jr., </w:t>
      </w:r>
      <w:r w:rsidRPr="00907EDD">
        <w:rPr>
          <w:rFonts w:ascii="Times New Roman" w:hAnsi="Times New Roman"/>
          <w:i/>
          <w:sz w:val="24"/>
          <w:szCs w:val="24"/>
        </w:rPr>
        <w:t>Industrial Water Pollution Control</w:t>
      </w:r>
      <w:r w:rsidRPr="00907EDD">
        <w:rPr>
          <w:rFonts w:ascii="Times New Roman" w:hAnsi="Times New Roman"/>
          <w:sz w:val="24"/>
          <w:szCs w:val="24"/>
        </w:rPr>
        <w:t xml:space="preserve">, McGraw Hill, New York, 1966. </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 xml:space="preserve">Kitaptan bir bölüm: </w:t>
      </w:r>
      <w:r w:rsidRPr="00907EDD">
        <w:rPr>
          <w:rFonts w:ascii="Times New Roman" w:hAnsi="Times New Roman"/>
          <w:sz w:val="24"/>
          <w:szCs w:val="24"/>
        </w:rPr>
        <w:t xml:space="preserve">Goldscmidt, B.M., “Non-nitrogenous Carcinogenic Industrial Chemicals” in </w:t>
      </w:r>
      <w:r w:rsidRPr="00907EDD">
        <w:rPr>
          <w:rFonts w:ascii="Times New Roman" w:hAnsi="Times New Roman"/>
          <w:i/>
          <w:sz w:val="24"/>
          <w:szCs w:val="24"/>
        </w:rPr>
        <w:t>Carcinogens in Industry and the Environment</w:t>
      </w:r>
      <w:r w:rsidRPr="00907EDD">
        <w:rPr>
          <w:rFonts w:ascii="Times New Roman" w:hAnsi="Times New Roman"/>
          <w:sz w:val="24"/>
          <w:szCs w:val="24"/>
        </w:rPr>
        <w:t xml:space="preserve"> (J.M. Sontag, ed.), Marcel Dekker Inc., New York, 283-290, 1990.</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 xml:space="preserve">Rapor: </w:t>
      </w:r>
      <w:r w:rsidRPr="00907EDD">
        <w:rPr>
          <w:rFonts w:ascii="Times New Roman" w:hAnsi="Times New Roman"/>
          <w:sz w:val="24"/>
          <w:szCs w:val="24"/>
        </w:rPr>
        <w:t xml:space="preserve">UNEP, Environmental Data Report, Blackwell Scientific, Oxford, 1987. </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 xml:space="preserve">Makaleler: </w:t>
      </w:r>
      <w:r w:rsidRPr="00907EDD">
        <w:rPr>
          <w:rFonts w:ascii="Times New Roman" w:hAnsi="Times New Roman"/>
          <w:sz w:val="24"/>
          <w:szCs w:val="24"/>
        </w:rPr>
        <w:t xml:space="preserve">Kocasoy, G., “A Method for the Prediction of the Extent of Microbial Pollution of Sea Water and the Carrying Capacity of Beaches”, </w:t>
      </w:r>
      <w:r w:rsidRPr="00907EDD">
        <w:rPr>
          <w:rFonts w:ascii="Times New Roman" w:hAnsi="Times New Roman"/>
          <w:i/>
          <w:sz w:val="24"/>
          <w:szCs w:val="24"/>
        </w:rPr>
        <w:t>Environmental Management</w:t>
      </w:r>
      <w:r w:rsidRPr="00907EDD">
        <w:rPr>
          <w:rFonts w:ascii="Times New Roman" w:hAnsi="Times New Roman"/>
          <w:sz w:val="24"/>
          <w:szCs w:val="24"/>
        </w:rPr>
        <w:t>, 13(4), 69-73, 1989.</w:t>
      </w:r>
    </w:p>
    <w:p w:rsidR="00907EDD" w:rsidRPr="00907EDD" w:rsidRDefault="00907EDD" w:rsidP="00907EDD">
      <w:pPr>
        <w:numPr>
          <w:ilvl w:val="0"/>
          <w:numId w:val="17"/>
        </w:numPr>
        <w:spacing w:before="120" w:after="120" w:line="240" w:lineRule="auto"/>
        <w:jc w:val="both"/>
        <w:rPr>
          <w:rFonts w:ascii="Times New Roman" w:hAnsi="Times New Roman"/>
          <w:sz w:val="24"/>
          <w:szCs w:val="24"/>
        </w:rPr>
      </w:pPr>
      <w:r w:rsidRPr="00907EDD">
        <w:rPr>
          <w:rFonts w:ascii="Times New Roman" w:hAnsi="Times New Roman"/>
          <w:b/>
          <w:sz w:val="24"/>
          <w:szCs w:val="24"/>
        </w:rPr>
        <w:t xml:space="preserve">Tezler: </w:t>
      </w:r>
      <w:r w:rsidRPr="00907EDD">
        <w:rPr>
          <w:rFonts w:ascii="Times New Roman" w:hAnsi="Times New Roman"/>
          <w:sz w:val="24"/>
          <w:szCs w:val="24"/>
        </w:rPr>
        <w:t xml:space="preserve">Sims, R.C., Land Treatment of Polynuclear Aromatic Compounds, Ph. D. Dissertation, North Carolina State University, Raleigh, North Carolina, 1970. </w:t>
      </w: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p>
    <w:p w:rsidR="00907EDD" w:rsidRPr="00907EDD" w:rsidRDefault="00907EDD" w:rsidP="00907EDD">
      <w:pPr>
        <w:spacing w:before="120" w:after="120" w:line="240" w:lineRule="auto"/>
        <w:jc w:val="both"/>
        <w:rPr>
          <w:rFonts w:ascii="Times New Roman" w:hAnsi="Times New Roman"/>
          <w:sz w:val="24"/>
          <w:szCs w:val="24"/>
        </w:rPr>
      </w:pPr>
      <w:r w:rsidRPr="00907EDD">
        <w:rPr>
          <w:rFonts w:ascii="Times New Roman" w:hAnsi="Times New Roman"/>
          <w:sz w:val="24"/>
          <w:szCs w:val="24"/>
        </w:rPr>
        <w:t>KATI ATIK ve ÇEVRE dergisini ilgilenen her kişi ve kuruluşa ulaştırmak, ancak yüksek baskı giderleri nedeniyle sadece ilgilenenlere göndermek arzusundayız. Bu amacı sağlamak üzere, derginin kendilerine yollanmasını isteyen kişi ve kuruluşlara bu formu doldurarak bize göndermelerini rica ederiz.</w:t>
      </w:r>
    </w:p>
    <w:p w:rsidR="00907EDD" w:rsidRPr="00907EDD" w:rsidRDefault="00907EDD" w:rsidP="00907EDD">
      <w:pPr>
        <w:spacing w:before="120" w:after="120" w:line="240" w:lineRule="auto"/>
        <w:jc w:val="right"/>
        <w:rPr>
          <w:rFonts w:ascii="Times New Roman" w:hAnsi="Times New Roman"/>
          <w:sz w:val="24"/>
          <w:szCs w:val="24"/>
        </w:rPr>
      </w:pPr>
      <w:r w:rsidRPr="00907EDD">
        <w:rPr>
          <w:rFonts w:ascii="Times New Roman" w:hAnsi="Times New Roman"/>
          <w:sz w:val="24"/>
          <w:szCs w:val="24"/>
        </w:rPr>
        <w:lastRenderedPageBreak/>
        <w:t>Katı Atık Türk Milli Komitesi</w:t>
      </w: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Katı Atık Türk Milli Komitesine,</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KATI ATIK ve ÇEVRE dergisinin tarafıma gönderilmesini arzu etmekteyim.</w:t>
      </w: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ind w:left="4956" w:firstLine="708"/>
        <w:rPr>
          <w:rFonts w:ascii="Times New Roman" w:hAnsi="Times New Roman"/>
          <w:sz w:val="24"/>
          <w:szCs w:val="24"/>
        </w:rPr>
      </w:pPr>
      <w:r w:rsidRPr="00907EDD">
        <w:rPr>
          <w:rFonts w:ascii="Times New Roman" w:hAnsi="Times New Roman"/>
          <w:sz w:val="24"/>
          <w:szCs w:val="24"/>
        </w:rPr>
        <w:t xml:space="preserve">      Tarih: ..... / ….. /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İsim, Soyadı</w:t>
      </w:r>
      <w:r w:rsidRPr="00907EDD">
        <w:rPr>
          <w:rFonts w:ascii="Times New Roman" w:hAnsi="Times New Roman"/>
          <w:sz w:val="24"/>
          <w:szCs w:val="24"/>
        </w:rPr>
        <w:tab/>
      </w:r>
      <w:r w:rsidRPr="00907EDD">
        <w:rPr>
          <w:rFonts w:ascii="Times New Roman" w:hAnsi="Times New Roman"/>
          <w:sz w:val="24"/>
          <w:szCs w:val="24"/>
        </w:rPr>
        <w:tab/>
        <w:t>: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Kuruluş</w:t>
      </w:r>
      <w:r w:rsidRPr="00907EDD">
        <w:rPr>
          <w:rFonts w:ascii="Times New Roman" w:hAnsi="Times New Roman"/>
          <w:sz w:val="24"/>
          <w:szCs w:val="24"/>
        </w:rPr>
        <w:tab/>
      </w:r>
      <w:r w:rsidRPr="00907EDD">
        <w:rPr>
          <w:rFonts w:ascii="Times New Roman" w:hAnsi="Times New Roman"/>
          <w:sz w:val="24"/>
          <w:szCs w:val="24"/>
        </w:rPr>
        <w:tab/>
        <w:t>: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Adres</w:t>
      </w:r>
      <w:r w:rsidRPr="00907EDD">
        <w:rPr>
          <w:rFonts w:ascii="Times New Roman" w:hAnsi="Times New Roman"/>
          <w:sz w:val="24"/>
          <w:szCs w:val="24"/>
        </w:rPr>
        <w:tab/>
      </w:r>
      <w:r w:rsidRPr="00907EDD">
        <w:rPr>
          <w:rFonts w:ascii="Times New Roman" w:hAnsi="Times New Roman"/>
          <w:sz w:val="24"/>
          <w:szCs w:val="24"/>
        </w:rPr>
        <w:tab/>
      </w:r>
      <w:r w:rsidRPr="00907EDD">
        <w:rPr>
          <w:rFonts w:ascii="Times New Roman" w:hAnsi="Times New Roman"/>
          <w:sz w:val="24"/>
          <w:szCs w:val="24"/>
        </w:rPr>
        <w:tab/>
        <w:t>: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ab/>
      </w:r>
      <w:r w:rsidRPr="00907EDD">
        <w:rPr>
          <w:rFonts w:ascii="Times New Roman" w:hAnsi="Times New Roman"/>
          <w:sz w:val="24"/>
          <w:szCs w:val="24"/>
        </w:rPr>
        <w:tab/>
      </w:r>
      <w:r w:rsidRPr="00907EDD">
        <w:rPr>
          <w:rFonts w:ascii="Times New Roman" w:hAnsi="Times New Roman"/>
          <w:sz w:val="24"/>
          <w:szCs w:val="24"/>
        </w:rPr>
        <w:tab/>
        <w:t xml:space="preserve">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Telefon</w:t>
      </w:r>
      <w:r w:rsidRPr="00907EDD">
        <w:rPr>
          <w:rFonts w:ascii="Times New Roman" w:hAnsi="Times New Roman"/>
          <w:sz w:val="24"/>
          <w:szCs w:val="24"/>
        </w:rPr>
        <w:tab/>
      </w:r>
      <w:r w:rsidRPr="00907EDD">
        <w:rPr>
          <w:rFonts w:ascii="Times New Roman" w:hAnsi="Times New Roman"/>
          <w:sz w:val="24"/>
          <w:szCs w:val="24"/>
        </w:rPr>
        <w:tab/>
        <w:t>: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Fax</w:t>
      </w:r>
      <w:r w:rsidRPr="00907EDD">
        <w:rPr>
          <w:rFonts w:ascii="Times New Roman" w:hAnsi="Times New Roman"/>
          <w:sz w:val="24"/>
          <w:szCs w:val="24"/>
        </w:rPr>
        <w:tab/>
      </w:r>
      <w:r w:rsidRPr="00907EDD">
        <w:rPr>
          <w:rFonts w:ascii="Times New Roman" w:hAnsi="Times New Roman"/>
          <w:sz w:val="24"/>
          <w:szCs w:val="24"/>
        </w:rPr>
        <w:tab/>
      </w:r>
      <w:r w:rsidRPr="00907EDD">
        <w:rPr>
          <w:rFonts w:ascii="Times New Roman" w:hAnsi="Times New Roman"/>
          <w:sz w:val="24"/>
          <w:szCs w:val="24"/>
        </w:rPr>
        <w:tab/>
        <w:t>: ……………………………………………………...</w:t>
      </w:r>
      <w:r w:rsidRPr="00907EDD">
        <w:rPr>
          <w:rFonts w:ascii="Times New Roman" w:hAnsi="Times New Roman"/>
          <w:sz w:val="24"/>
          <w:szCs w:val="24"/>
        </w:rPr>
        <w:tab/>
        <w:t>İmza</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E-mail</w:t>
      </w:r>
      <w:r w:rsidRPr="00907EDD">
        <w:rPr>
          <w:rFonts w:ascii="Times New Roman" w:hAnsi="Times New Roman"/>
          <w:sz w:val="24"/>
          <w:szCs w:val="24"/>
        </w:rPr>
        <w:tab/>
      </w:r>
      <w:r w:rsidRPr="00907EDD">
        <w:rPr>
          <w:rFonts w:ascii="Times New Roman" w:hAnsi="Times New Roman"/>
          <w:sz w:val="24"/>
          <w:szCs w:val="24"/>
        </w:rPr>
        <w:tab/>
      </w:r>
      <w:r w:rsidRPr="00907EDD">
        <w:rPr>
          <w:rFonts w:ascii="Times New Roman" w:hAnsi="Times New Roman"/>
          <w:sz w:val="24"/>
          <w:szCs w:val="24"/>
        </w:rPr>
        <w:tab/>
        <w:t>: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w:t>
      </w:r>
    </w:p>
    <w:p w:rsidR="00907EDD" w:rsidRPr="00907EDD" w:rsidRDefault="00907EDD" w:rsidP="00907EDD">
      <w:pPr>
        <w:spacing w:before="120" w:after="120" w:line="240" w:lineRule="auto"/>
        <w:jc w:val="both"/>
        <w:rPr>
          <w:rFonts w:ascii="Times New Roman" w:hAnsi="Times New Roman"/>
          <w:sz w:val="24"/>
          <w:szCs w:val="24"/>
        </w:rPr>
      </w:pPr>
      <w:r w:rsidRPr="00907EDD">
        <w:rPr>
          <w:rFonts w:ascii="Times New Roman" w:hAnsi="Times New Roman"/>
          <w:sz w:val="24"/>
          <w:szCs w:val="24"/>
        </w:rPr>
        <w:t>KATI ATIK ve ÇEVRE dergisini ilgilenen her kişi ve kuruluşa ulaştırmak, ancak yüksek baskı giderleri nedeniyle sadece ilgilenenlere göndermek arzusundayız. Bu amacı sağlamak üzere, derginin kendilerine yollanmasını isteyen kişi ve kuruluşlara bu formu doldurarak bize göndermelerini rica ederiz.</w:t>
      </w:r>
    </w:p>
    <w:p w:rsidR="00907EDD" w:rsidRPr="00907EDD" w:rsidRDefault="00907EDD" w:rsidP="00907EDD">
      <w:pPr>
        <w:spacing w:before="120" w:after="120" w:line="240" w:lineRule="auto"/>
        <w:ind w:left="5664"/>
        <w:jc w:val="right"/>
        <w:rPr>
          <w:rFonts w:ascii="Times New Roman" w:hAnsi="Times New Roman"/>
          <w:sz w:val="24"/>
          <w:szCs w:val="24"/>
        </w:rPr>
      </w:pPr>
      <w:r w:rsidRPr="00907EDD">
        <w:rPr>
          <w:rFonts w:ascii="Times New Roman" w:hAnsi="Times New Roman"/>
          <w:sz w:val="24"/>
          <w:szCs w:val="24"/>
        </w:rPr>
        <w:t xml:space="preserve">       Katı Atık Türk Milli Komitesi</w:t>
      </w: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Katı Atık Türk Milli Komitesine,</w:t>
      </w: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KATI ATIK ve ÇEVRE dergisinin tarafıma gönderilmesini arzu etmekteyim.</w:t>
      </w: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ind w:left="4956" w:firstLine="708"/>
        <w:rPr>
          <w:rFonts w:ascii="Times New Roman" w:hAnsi="Times New Roman"/>
          <w:sz w:val="24"/>
          <w:szCs w:val="24"/>
        </w:rPr>
      </w:pPr>
      <w:r w:rsidRPr="00907EDD">
        <w:rPr>
          <w:rFonts w:ascii="Times New Roman" w:hAnsi="Times New Roman"/>
          <w:sz w:val="24"/>
          <w:szCs w:val="24"/>
        </w:rPr>
        <w:t xml:space="preserve">      Tarih: ..... / ….. /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İsim, Soyadı</w:t>
      </w:r>
      <w:r w:rsidRPr="00907EDD">
        <w:rPr>
          <w:rFonts w:ascii="Times New Roman" w:hAnsi="Times New Roman"/>
          <w:sz w:val="24"/>
          <w:szCs w:val="24"/>
        </w:rPr>
        <w:tab/>
      </w:r>
      <w:r w:rsidRPr="00907EDD">
        <w:rPr>
          <w:rFonts w:ascii="Times New Roman" w:hAnsi="Times New Roman"/>
          <w:sz w:val="24"/>
          <w:szCs w:val="24"/>
        </w:rPr>
        <w:tab/>
        <w:t>: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Kuruluş</w:t>
      </w:r>
      <w:r w:rsidRPr="00907EDD">
        <w:rPr>
          <w:rFonts w:ascii="Times New Roman" w:hAnsi="Times New Roman"/>
          <w:sz w:val="24"/>
          <w:szCs w:val="24"/>
        </w:rPr>
        <w:tab/>
      </w:r>
      <w:r w:rsidRPr="00907EDD">
        <w:rPr>
          <w:rFonts w:ascii="Times New Roman" w:hAnsi="Times New Roman"/>
          <w:sz w:val="24"/>
          <w:szCs w:val="24"/>
        </w:rPr>
        <w:tab/>
        <w:t>: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Adres</w:t>
      </w:r>
      <w:r w:rsidRPr="00907EDD">
        <w:rPr>
          <w:rFonts w:ascii="Times New Roman" w:hAnsi="Times New Roman"/>
          <w:sz w:val="24"/>
          <w:szCs w:val="24"/>
        </w:rPr>
        <w:tab/>
      </w:r>
      <w:r w:rsidRPr="00907EDD">
        <w:rPr>
          <w:rFonts w:ascii="Times New Roman" w:hAnsi="Times New Roman"/>
          <w:sz w:val="24"/>
          <w:szCs w:val="24"/>
        </w:rPr>
        <w:tab/>
      </w:r>
      <w:r w:rsidRPr="00907EDD">
        <w:rPr>
          <w:rFonts w:ascii="Times New Roman" w:hAnsi="Times New Roman"/>
          <w:sz w:val="24"/>
          <w:szCs w:val="24"/>
        </w:rPr>
        <w:tab/>
        <w:t>: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ab/>
      </w:r>
      <w:r w:rsidRPr="00907EDD">
        <w:rPr>
          <w:rFonts w:ascii="Times New Roman" w:hAnsi="Times New Roman"/>
          <w:sz w:val="24"/>
          <w:szCs w:val="24"/>
        </w:rPr>
        <w:tab/>
      </w:r>
      <w:r w:rsidRPr="00907EDD">
        <w:rPr>
          <w:rFonts w:ascii="Times New Roman" w:hAnsi="Times New Roman"/>
          <w:sz w:val="24"/>
          <w:szCs w:val="24"/>
        </w:rPr>
        <w:tab/>
        <w:t xml:space="preserve">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Telefon</w:t>
      </w:r>
      <w:r w:rsidRPr="00907EDD">
        <w:rPr>
          <w:rFonts w:ascii="Times New Roman" w:hAnsi="Times New Roman"/>
          <w:sz w:val="24"/>
          <w:szCs w:val="24"/>
        </w:rPr>
        <w:tab/>
      </w:r>
      <w:r w:rsidRPr="00907EDD">
        <w:rPr>
          <w:rFonts w:ascii="Times New Roman" w:hAnsi="Times New Roman"/>
          <w:sz w:val="24"/>
          <w:szCs w:val="24"/>
        </w:rPr>
        <w:tab/>
        <w:t>: ……………………………………………………....</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Fax</w:t>
      </w:r>
      <w:r w:rsidRPr="00907EDD">
        <w:rPr>
          <w:rFonts w:ascii="Times New Roman" w:hAnsi="Times New Roman"/>
          <w:sz w:val="24"/>
          <w:szCs w:val="24"/>
        </w:rPr>
        <w:tab/>
      </w:r>
      <w:r w:rsidRPr="00907EDD">
        <w:rPr>
          <w:rFonts w:ascii="Times New Roman" w:hAnsi="Times New Roman"/>
          <w:sz w:val="24"/>
          <w:szCs w:val="24"/>
        </w:rPr>
        <w:tab/>
      </w:r>
      <w:r w:rsidRPr="00907EDD">
        <w:rPr>
          <w:rFonts w:ascii="Times New Roman" w:hAnsi="Times New Roman"/>
          <w:sz w:val="24"/>
          <w:szCs w:val="24"/>
        </w:rPr>
        <w:tab/>
        <w:t>: ……………………………………………………....</w:t>
      </w:r>
      <w:r w:rsidRPr="00907EDD">
        <w:rPr>
          <w:rFonts w:ascii="Times New Roman" w:hAnsi="Times New Roman"/>
          <w:sz w:val="24"/>
          <w:szCs w:val="24"/>
        </w:rPr>
        <w:tab/>
        <w:t>İmza</w:t>
      </w:r>
    </w:p>
    <w:p w:rsidR="00907EDD" w:rsidRPr="00907EDD" w:rsidRDefault="00907EDD" w:rsidP="00907EDD">
      <w:pPr>
        <w:spacing w:before="120" w:after="120" w:line="240" w:lineRule="auto"/>
        <w:rPr>
          <w:rFonts w:ascii="Times New Roman" w:hAnsi="Times New Roman"/>
          <w:sz w:val="24"/>
          <w:szCs w:val="24"/>
        </w:rPr>
      </w:pPr>
      <w:r w:rsidRPr="00907EDD">
        <w:rPr>
          <w:rFonts w:ascii="Times New Roman" w:hAnsi="Times New Roman"/>
          <w:sz w:val="24"/>
          <w:szCs w:val="24"/>
        </w:rPr>
        <w:t>E-mail</w:t>
      </w:r>
      <w:r w:rsidRPr="00907EDD">
        <w:rPr>
          <w:rFonts w:ascii="Times New Roman" w:hAnsi="Times New Roman"/>
          <w:sz w:val="24"/>
          <w:szCs w:val="24"/>
        </w:rPr>
        <w:tab/>
      </w:r>
      <w:r w:rsidRPr="00907EDD">
        <w:rPr>
          <w:rFonts w:ascii="Times New Roman" w:hAnsi="Times New Roman"/>
          <w:sz w:val="24"/>
          <w:szCs w:val="24"/>
        </w:rPr>
        <w:tab/>
      </w:r>
      <w:r w:rsidRPr="00907EDD">
        <w:rPr>
          <w:rFonts w:ascii="Times New Roman" w:hAnsi="Times New Roman"/>
          <w:sz w:val="24"/>
          <w:szCs w:val="24"/>
        </w:rPr>
        <w:tab/>
        <w:t>: ……………………………………………………....</w:t>
      </w: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b/>
          <w:sz w:val="24"/>
          <w:szCs w:val="24"/>
        </w:rPr>
      </w:pPr>
      <w:r w:rsidRPr="00907EDD">
        <w:rPr>
          <w:rFonts w:ascii="Times New Roman" w:hAnsi="Times New Roman"/>
          <w:b/>
          <w:sz w:val="24"/>
          <w:szCs w:val="24"/>
        </w:rPr>
        <w:lastRenderedPageBreak/>
        <w:t>KATI ATIK KİRLENMESİ ARAŞTIRMA VE DENETİMİ</w:t>
      </w:r>
    </w:p>
    <w:p w:rsidR="00907EDD" w:rsidRPr="00907EDD" w:rsidRDefault="00907EDD" w:rsidP="00907EDD">
      <w:pPr>
        <w:spacing w:before="120" w:after="120" w:line="240" w:lineRule="auto"/>
        <w:jc w:val="center"/>
        <w:rPr>
          <w:rFonts w:ascii="Times New Roman" w:hAnsi="Times New Roman"/>
          <w:b/>
          <w:sz w:val="24"/>
          <w:szCs w:val="24"/>
        </w:rPr>
      </w:pPr>
      <w:r w:rsidRPr="00907EDD">
        <w:rPr>
          <w:rFonts w:ascii="Times New Roman" w:hAnsi="Times New Roman"/>
          <w:b/>
          <w:sz w:val="24"/>
          <w:szCs w:val="24"/>
        </w:rPr>
        <w:t>TÜRK MİLLİ KOMİTESİ</w:t>
      </w:r>
    </w:p>
    <w:p w:rsidR="00907EDD" w:rsidRPr="00907EDD" w:rsidRDefault="00907EDD" w:rsidP="00907EDD">
      <w:pPr>
        <w:spacing w:before="120" w:after="120" w:line="240" w:lineRule="auto"/>
        <w:jc w:val="center"/>
        <w:rPr>
          <w:rFonts w:ascii="Times New Roman" w:hAnsi="Times New Roman"/>
          <w:b/>
          <w:sz w:val="24"/>
          <w:szCs w:val="24"/>
        </w:rPr>
      </w:pPr>
      <w:r w:rsidRPr="00907EDD">
        <w:rPr>
          <w:rFonts w:ascii="Times New Roman" w:hAnsi="Times New Roman"/>
          <w:b/>
          <w:sz w:val="24"/>
          <w:szCs w:val="24"/>
        </w:rPr>
        <w:t>BOĞAZİÇİ ÜNİVERSİTESİ</w:t>
      </w: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sz w:val="24"/>
          <w:szCs w:val="24"/>
        </w:rPr>
      </w:pPr>
      <w:r w:rsidRPr="00907EDD">
        <w:rPr>
          <w:rFonts w:ascii="Times New Roman" w:hAnsi="Times New Roman"/>
          <w:sz w:val="24"/>
          <w:szCs w:val="24"/>
        </w:rPr>
        <w:t>34342 BEBEK - İSTANBUL</w:t>
      </w: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rPr>
          <w:rFonts w:ascii="Times New Roman" w:hAnsi="Times New Roman"/>
          <w:sz w:val="24"/>
          <w:szCs w:val="24"/>
        </w:rPr>
      </w:pPr>
    </w:p>
    <w:p w:rsidR="00907EDD" w:rsidRPr="00907EDD" w:rsidRDefault="00907EDD" w:rsidP="00907EDD">
      <w:pPr>
        <w:spacing w:before="120" w:after="120" w:line="240" w:lineRule="auto"/>
        <w:jc w:val="center"/>
        <w:rPr>
          <w:rFonts w:ascii="Times New Roman" w:hAnsi="Times New Roman"/>
          <w:b/>
          <w:sz w:val="24"/>
          <w:szCs w:val="24"/>
        </w:rPr>
      </w:pPr>
      <w:r w:rsidRPr="00907EDD">
        <w:rPr>
          <w:rFonts w:ascii="Times New Roman" w:hAnsi="Times New Roman"/>
          <w:b/>
          <w:sz w:val="24"/>
          <w:szCs w:val="24"/>
        </w:rPr>
        <w:t>KATI ATIK KİRLENMESİ ARAŞTIRMA VE DENETİMİ</w:t>
      </w:r>
    </w:p>
    <w:p w:rsidR="00907EDD" w:rsidRPr="00907EDD" w:rsidRDefault="00907EDD" w:rsidP="00907EDD">
      <w:pPr>
        <w:spacing w:before="120" w:after="120" w:line="240" w:lineRule="auto"/>
        <w:jc w:val="center"/>
        <w:rPr>
          <w:rFonts w:ascii="Times New Roman" w:hAnsi="Times New Roman"/>
          <w:b/>
          <w:sz w:val="24"/>
          <w:szCs w:val="24"/>
        </w:rPr>
      </w:pPr>
      <w:r w:rsidRPr="00907EDD">
        <w:rPr>
          <w:rFonts w:ascii="Times New Roman" w:hAnsi="Times New Roman"/>
          <w:b/>
          <w:sz w:val="24"/>
          <w:szCs w:val="24"/>
        </w:rPr>
        <w:t>TÜRK MİLLİ KOMİTESİ</w:t>
      </w:r>
    </w:p>
    <w:p w:rsidR="00907EDD" w:rsidRPr="00907EDD" w:rsidRDefault="00907EDD" w:rsidP="00907EDD">
      <w:pPr>
        <w:spacing w:before="120" w:after="120" w:line="240" w:lineRule="auto"/>
        <w:jc w:val="center"/>
        <w:rPr>
          <w:rFonts w:ascii="Times New Roman" w:hAnsi="Times New Roman"/>
          <w:b/>
          <w:sz w:val="24"/>
          <w:szCs w:val="24"/>
        </w:rPr>
      </w:pPr>
      <w:r w:rsidRPr="00907EDD">
        <w:rPr>
          <w:rFonts w:ascii="Times New Roman" w:hAnsi="Times New Roman"/>
          <w:b/>
          <w:sz w:val="24"/>
          <w:szCs w:val="24"/>
        </w:rPr>
        <w:t>BOĞAZİÇİ ÜNİVERSİTESİ</w:t>
      </w: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b/>
          <w:sz w:val="24"/>
          <w:szCs w:val="24"/>
        </w:rPr>
      </w:pPr>
    </w:p>
    <w:p w:rsidR="00907EDD" w:rsidRPr="00907EDD" w:rsidRDefault="00907EDD" w:rsidP="00907EDD">
      <w:pPr>
        <w:spacing w:before="120" w:after="120" w:line="240" w:lineRule="auto"/>
        <w:jc w:val="center"/>
        <w:rPr>
          <w:rFonts w:ascii="Times New Roman" w:hAnsi="Times New Roman"/>
          <w:sz w:val="24"/>
          <w:szCs w:val="24"/>
        </w:rPr>
      </w:pPr>
      <w:r w:rsidRPr="00907EDD">
        <w:rPr>
          <w:rFonts w:ascii="Times New Roman" w:hAnsi="Times New Roman"/>
          <w:sz w:val="24"/>
          <w:szCs w:val="24"/>
        </w:rPr>
        <w:t>34342 BEBEK – İSTANBUL</w:t>
      </w:r>
    </w:p>
    <w:p w:rsidR="00801CF8" w:rsidRDefault="00801CF8"/>
    <w:sectPr w:rsidR="00801CF8" w:rsidSect="00E230BE">
      <w:type w:val="continuous"/>
      <w:pgSz w:w="11906" w:h="16838"/>
      <w:pgMar w:top="1417" w:right="849" w:bottom="1417" w:left="1134"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CAA" w:rsidRDefault="00453CAA" w:rsidP="00506AE1">
      <w:pPr>
        <w:spacing w:after="0" w:line="240" w:lineRule="auto"/>
      </w:pPr>
      <w:r>
        <w:separator/>
      </w:r>
    </w:p>
  </w:endnote>
  <w:endnote w:type="continuationSeparator" w:id="0">
    <w:p w:rsidR="00453CAA" w:rsidRDefault="00453CAA" w:rsidP="00506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9430"/>
      <w:docPartObj>
        <w:docPartGallery w:val="Page Numbers (Bottom of Page)"/>
        <w:docPartUnique/>
      </w:docPartObj>
    </w:sdtPr>
    <w:sdtContent>
      <w:p w:rsidR="00D55BA2" w:rsidRDefault="00D55BA2">
        <w:pPr>
          <w:pStyle w:val="Footer"/>
        </w:pPr>
        <w:r w:rsidRPr="00907EDD">
          <w:rPr>
            <w:rFonts w:ascii="Times New Roman" w:hAnsi="Times New Roman"/>
            <w:sz w:val="20"/>
            <w:szCs w:val="20"/>
          </w:rPr>
          <w:fldChar w:fldCharType="begin"/>
        </w:r>
        <w:r w:rsidRPr="00907EDD">
          <w:rPr>
            <w:rFonts w:ascii="Times New Roman" w:hAnsi="Times New Roman"/>
            <w:sz w:val="20"/>
            <w:szCs w:val="20"/>
          </w:rPr>
          <w:instrText xml:space="preserve"> PAGE   \* MERGEFORMAT </w:instrText>
        </w:r>
        <w:r w:rsidRPr="00907EDD">
          <w:rPr>
            <w:rFonts w:ascii="Times New Roman" w:hAnsi="Times New Roman"/>
            <w:sz w:val="20"/>
            <w:szCs w:val="20"/>
          </w:rPr>
          <w:fldChar w:fldCharType="separate"/>
        </w:r>
        <w:r w:rsidR="00086F2C">
          <w:rPr>
            <w:rFonts w:ascii="Times New Roman" w:hAnsi="Times New Roman"/>
            <w:noProof/>
            <w:sz w:val="20"/>
            <w:szCs w:val="20"/>
          </w:rPr>
          <w:t>72</w:t>
        </w:r>
        <w:r w:rsidRPr="00907EDD">
          <w:rPr>
            <w:rFonts w:ascii="Times New Roman" w:hAnsi="Times New Roman"/>
            <w:sz w:val="20"/>
            <w:szCs w:val="20"/>
          </w:rPr>
          <w:fldChar w:fldCharType="end"/>
        </w:r>
        <w:r w:rsidRPr="00907EDD">
          <w:rPr>
            <w:rFonts w:ascii="Times New Roman" w:hAnsi="Times New Roman"/>
            <w:sz w:val="20"/>
            <w:szCs w:val="20"/>
          </w:rPr>
          <w:t xml:space="preserve">          Katı Atık ve Çevre, Ekim 2011</w:t>
        </w:r>
      </w:p>
    </w:sdtContent>
  </w:sdt>
  <w:p w:rsidR="00D55BA2" w:rsidRDefault="00D55B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2309431"/>
      <w:docPartObj>
        <w:docPartGallery w:val="Page Numbers (Bottom of Page)"/>
        <w:docPartUnique/>
      </w:docPartObj>
    </w:sdtPr>
    <w:sdtContent>
      <w:p w:rsidR="00D55BA2" w:rsidRPr="00907EDD" w:rsidRDefault="00D55BA2">
        <w:pPr>
          <w:pStyle w:val="Footer"/>
          <w:jc w:val="right"/>
          <w:rPr>
            <w:rFonts w:ascii="Times New Roman" w:hAnsi="Times New Roman"/>
            <w:sz w:val="20"/>
            <w:szCs w:val="20"/>
          </w:rPr>
        </w:pPr>
        <w:r w:rsidRPr="00907EDD">
          <w:rPr>
            <w:rFonts w:ascii="Times New Roman" w:hAnsi="Times New Roman"/>
            <w:sz w:val="20"/>
            <w:szCs w:val="20"/>
          </w:rPr>
          <w:t xml:space="preserve">Katı Atık ve Çevre, Ekim 2011          </w:t>
        </w:r>
        <w:r w:rsidRPr="00907EDD">
          <w:rPr>
            <w:rFonts w:ascii="Times New Roman" w:hAnsi="Times New Roman"/>
            <w:sz w:val="20"/>
            <w:szCs w:val="20"/>
          </w:rPr>
          <w:fldChar w:fldCharType="begin"/>
        </w:r>
        <w:r w:rsidRPr="00907EDD">
          <w:rPr>
            <w:rFonts w:ascii="Times New Roman" w:hAnsi="Times New Roman"/>
            <w:sz w:val="20"/>
            <w:szCs w:val="20"/>
          </w:rPr>
          <w:instrText xml:space="preserve"> PAGE   \* MERGEFORMAT </w:instrText>
        </w:r>
        <w:r w:rsidRPr="00907EDD">
          <w:rPr>
            <w:rFonts w:ascii="Times New Roman" w:hAnsi="Times New Roman"/>
            <w:sz w:val="20"/>
            <w:szCs w:val="20"/>
          </w:rPr>
          <w:fldChar w:fldCharType="separate"/>
        </w:r>
        <w:r w:rsidR="00086F2C">
          <w:rPr>
            <w:rFonts w:ascii="Times New Roman" w:hAnsi="Times New Roman"/>
            <w:noProof/>
            <w:sz w:val="20"/>
            <w:szCs w:val="20"/>
          </w:rPr>
          <w:t>71</w:t>
        </w:r>
        <w:r w:rsidRPr="00907EDD">
          <w:rPr>
            <w:rFonts w:ascii="Times New Roman" w:hAnsi="Times New Roman"/>
            <w:sz w:val="20"/>
            <w:szCs w:val="20"/>
          </w:rPr>
          <w:fldChar w:fldCharType="end"/>
        </w:r>
      </w:p>
    </w:sdtContent>
  </w:sdt>
  <w:p w:rsidR="00D55BA2" w:rsidRDefault="00D55B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CAA" w:rsidRDefault="00453CAA" w:rsidP="00506AE1">
      <w:pPr>
        <w:spacing w:after="0" w:line="240" w:lineRule="auto"/>
      </w:pPr>
      <w:r>
        <w:separator/>
      </w:r>
    </w:p>
  </w:footnote>
  <w:footnote w:type="continuationSeparator" w:id="0">
    <w:p w:rsidR="00453CAA" w:rsidRDefault="00453CAA" w:rsidP="00506A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7782"/>
    <w:multiLevelType w:val="hybridMultilevel"/>
    <w:tmpl w:val="2B9AF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50607F"/>
    <w:multiLevelType w:val="hybridMultilevel"/>
    <w:tmpl w:val="773A7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103626E"/>
    <w:multiLevelType w:val="hybridMultilevel"/>
    <w:tmpl w:val="C6D08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634817"/>
    <w:multiLevelType w:val="hybridMultilevel"/>
    <w:tmpl w:val="97B2360E"/>
    <w:lvl w:ilvl="0" w:tplc="041F000F">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
    <w:nsid w:val="22F26827"/>
    <w:multiLevelType w:val="multilevel"/>
    <w:tmpl w:val="BD784386"/>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ascii="Arial" w:eastAsia="Calibri" w:hAnsi="Arial" w:cs="Arial"/>
        <w:b w:val="0"/>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27A930EB"/>
    <w:multiLevelType w:val="multilevel"/>
    <w:tmpl w:val="16E0040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0154AA4"/>
    <w:multiLevelType w:val="multilevel"/>
    <w:tmpl w:val="B0F069F6"/>
    <w:lvl w:ilvl="0">
      <w:start w:val="1"/>
      <w:numFmt w:val="decimal"/>
      <w:lvlText w:val="%1."/>
      <w:lvlJc w:val="left"/>
      <w:pPr>
        <w:ind w:left="2062"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i/>
      </w:rPr>
    </w:lvl>
    <w:lvl w:ilvl="4">
      <w:start w:val="1"/>
      <w:numFmt w:val="decimal"/>
      <w:isLgl/>
      <w:lvlText w:val="%1.%2.%3.%4.%5."/>
      <w:lvlJc w:val="left"/>
      <w:pPr>
        <w:ind w:left="3142" w:hanging="144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502" w:hanging="180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862" w:hanging="2160"/>
      </w:pPr>
      <w:rPr>
        <w:rFonts w:hint="default"/>
      </w:rPr>
    </w:lvl>
  </w:abstractNum>
  <w:abstractNum w:abstractNumId="7">
    <w:nsid w:val="3772420A"/>
    <w:multiLevelType w:val="hybridMultilevel"/>
    <w:tmpl w:val="0BF6164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3694E0D"/>
    <w:multiLevelType w:val="hybridMultilevel"/>
    <w:tmpl w:val="ED5EC7AE"/>
    <w:lvl w:ilvl="0" w:tplc="010A3F8A">
      <w:start w:val="1"/>
      <w:numFmt w:val="bullet"/>
      <w:lvlText w:val="-"/>
      <w:lvlJc w:val="left"/>
      <w:pPr>
        <w:ind w:left="720" w:hanging="360"/>
      </w:pPr>
      <w:rPr>
        <w:rFonts w:ascii="Garamond" w:eastAsia="Times New Roman" w:hAnsi="Garamond" w:cs="Times New Roman" w:hint="default"/>
      </w:rPr>
    </w:lvl>
    <w:lvl w:ilvl="1" w:tplc="F7807B30" w:tentative="1">
      <w:start w:val="1"/>
      <w:numFmt w:val="bullet"/>
      <w:lvlText w:val="o"/>
      <w:lvlJc w:val="left"/>
      <w:pPr>
        <w:ind w:left="1440" w:hanging="360"/>
      </w:pPr>
      <w:rPr>
        <w:rFonts w:ascii="Courier New" w:hAnsi="Courier New" w:cs="Courier New" w:hint="default"/>
      </w:rPr>
    </w:lvl>
    <w:lvl w:ilvl="2" w:tplc="783AC312" w:tentative="1">
      <w:start w:val="1"/>
      <w:numFmt w:val="bullet"/>
      <w:lvlText w:val=""/>
      <w:lvlJc w:val="left"/>
      <w:pPr>
        <w:ind w:left="2160" w:hanging="360"/>
      </w:pPr>
      <w:rPr>
        <w:rFonts w:ascii="Wingdings" w:hAnsi="Wingdings" w:hint="default"/>
      </w:rPr>
    </w:lvl>
    <w:lvl w:ilvl="3" w:tplc="1EC49F90" w:tentative="1">
      <w:start w:val="1"/>
      <w:numFmt w:val="bullet"/>
      <w:lvlText w:val=""/>
      <w:lvlJc w:val="left"/>
      <w:pPr>
        <w:ind w:left="2880" w:hanging="360"/>
      </w:pPr>
      <w:rPr>
        <w:rFonts w:ascii="Symbol" w:hAnsi="Symbol" w:hint="default"/>
      </w:rPr>
    </w:lvl>
    <w:lvl w:ilvl="4" w:tplc="CCF2F32C" w:tentative="1">
      <w:start w:val="1"/>
      <w:numFmt w:val="bullet"/>
      <w:lvlText w:val="o"/>
      <w:lvlJc w:val="left"/>
      <w:pPr>
        <w:ind w:left="3600" w:hanging="360"/>
      </w:pPr>
      <w:rPr>
        <w:rFonts w:ascii="Courier New" w:hAnsi="Courier New" w:cs="Courier New" w:hint="default"/>
      </w:rPr>
    </w:lvl>
    <w:lvl w:ilvl="5" w:tplc="72EE8C6E" w:tentative="1">
      <w:start w:val="1"/>
      <w:numFmt w:val="bullet"/>
      <w:lvlText w:val=""/>
      <w:lvlJc w:val="left"/>
      <w:pPr>
        <w:ind w:left="4320" w:hanging="360"/>
      </w:pPr>
      <w:rPr>
        <w:rFonts w:ascii="Wingdings" w:hAnsi="Wingdings" w:hint="default"/>
      </w:rPr>
    </w:lvl>
    <w:lvl w:ilvl="6" w:tplc="C5BA061E" w:tentative="1">
      <w:start w:val="1"/>
      <w:numFmt w:val="bullet"/>
      <w:lvlText w:val=""/>
      <w:lvlJc w:val="left"/>
      <w:pPr>
        <w:ind w:left="5040" w:hanging="360"/>
      </w:pPr>
      <w:rPr>
        <w:rFonts w:ascii="Symbol" w:hAnsi="Symbol" w:hint="default"/>
      </w:rPr>
    </w:lvl>
    <w:lvl w:ilvl="7" w:tplc="EC842686" w:tentative="1">
      <w:start w:val="1"/>
      <w:numFmt w:val="bullet"/>
      <w:lvlText w:val="o"/>
      <w:lvlJc w:val="left"/>
      <w:pPr>
        <w:ind w:left="5760" w:hanging="360"/>
      </w:pPr>
      <w:rPr>
        <w:rFonts w:ascii="Courier New" w:hAnsi="Courier New" w:cs="Courier New" w:hint="default"/>
      </w:rPr>
    </w:lvl>
    <w:lvl w:ilvl="8" w:tplc="683884B6" w:tentative="1">
      <w:start w:val="1"/>
      <w:numFmt w:val="bullet"/>
      <w:lvlText w:val=""/>
      <w:lvlJc w:val="left"/>
      <w:pPr>
        <w:ind w:left="6480" w:hanging="360"/>
      </w:pPr>
      <w:rPr>
        <w:rFonts w:ascii="Wingdings" w:hAnsi="Wingdings" w:hint="default"/>
      </w:rPr>
    </w:lvl>
  </w:abstractNum>
  <w:abstractNum w:abstractNumId="9">
    <w:nsid w:val="4A876CB8"/>
    <w:multiLevelType w:val="hybridMultilevel"/>
    <w:tmpl w:val="4F7838D4"/>
    <w:lvl w:ilvl="0" w:tplc="041F000F">
      <w:start w:val="1"/>
      <w:numFmt w:val="bullet"/>
      <w:lvlText w:val=""/>
      <w:lvlJc w:val="left"/>
      <w:pPr>
        <w:ind w:left="1440" w:hanging="360"/>
      </w:pPr>
      <w:rPr>
        <w:rFonts w:ascii="Symbol" w:hAnsi="Symbol" w:hint="default"/>
      </w:rPr>
    </w:lvl>
    <w:lvl w:ilvl="1" w:tplc="041F0019" w:tentative="1">
      <w:start w:val="1"/>
      <w:numFmt w:val="bullet"/>
      <w:lvlText w:val="o"/>
      <w:lvlJc w:val="left"/>
      <w:pPr>
        <w:ind w:left="2160" w:hanging="360"/>
      </w:pPr>
      <w:rPr>
        <w:rFonts w:ascii="Courier New" w:hAnsi="Courier New" w:cs="Courier New" w:hint="default"/>
      </w:rPr>
    </w:lvl>
    <w:lvl w:ilvl="2" w:tplc="041F001B" w:tentative="1">
      <w:start w:val="1"/>
      <w:numFmt w:val="bullet"/>
      <w:lvlText w:val=""/>
      <w:lvlJc w:val="left"/>
      <w:pPr>
        <w:ind w:left="2880" w:hanging="360"/>
      </w:pPr>
      <w:rPr>
        <w:rFonts w:ascii="Wingdings" w:hAnsi="Wingdings" w:hint="default"/>
      </w:rPr>
    </w:lvl>
    <w:lvl w:ilvl="3" w:tplc="041F000F" w:tentative="1">
      <w:start w:val="1"/>
      <w:numFmt w:val="bullet"/>
      <w:lvlText w:val=""/>
      <w:lvlJc w:val="left"/>
      <w:pPr>
        <w:ind w:left="3600" w:hanging="360"/>
      </w:pPr>
      <w:rPr>
        <w:rFonts w:ascii="Symbol" w:hAnsi="Symbol" w:hint="default"/>
      </w:rPr>
    </w:lvl>
    <w:lvl w:ilvl="4" w:tplc="041F0019" w:tentative="1">
      <w:start w:val="1"/>
      <w:numFmt w:val="bullet"/>
      <w:lvlText w:val="o"/>
      <w:lvlJc w:val="left"/>
      <w:pPr>
        <w:ind w:left="4320" w:hanging="360"/>
      </w:pPr>
      <w:rPr>
        <w:rFonts w:ascii="Courier New" w:hAnsi="Courier New" w:cs="Courier New" w:hint="default"/>
      </w:rPr>
    </w:lvl>
    <w:lvl w:ilvl="5" w:tplc="041F001B" w:tentative="1">
      <w:start w:val="1"/>
      <w:numFmt w:val="bullet"/>
      <w:lvlText w:val=""/>
      <w:lvlJc w:val="left"/>
      <w:pPr>
        <w:ind w:left="5040" w:hanging="360"/>
      </w:pPr>
      <w:rPr>
        <w:rFonts w:ascii="Wingdings" w:hAnsi="Wingdings" w:hint="default"/>
      </w:rPr>
    </w:lvl>
    <w:lvl w:ilvl="6" w:tplc="041F000F" w:tentative="1">
      <w:start w:val="1"/>
      <w:numFmt w:val="bullet"/>
      <w:lvlText w:val=""/>
      <w:lvlJc w:val="left"/>
      <w:pPr>
        <w:ind w:left="5760" w:hanging="360"/>
      </w:pPr>
      <w:rPr>
        <w:rFonts w:ascii="Symbol" w:hAnsi="Symbol" w:hint="default"/>
      </w:rPr>
    </w:lvl>
    <w:lvl w:ilvl="7" w:tplc="041F0019" w:tentative="1">
      <w:start w:val="1"/>
      <w:numFmt w:val="bullet"/>
      <w:lvlText w:val="o"/>
      <w:lvlJc w:val="left"/>
      <w:pPr>
        <w:ind w:left="6480" w:hanging="360"/>
      </w:pPr>
      <w:rPr>
        <w:rFonts w:ascii="Courier New" w:hAnsi="Courier New" w:cs="Courier New" w:hint="default"/>
      </w:rPr>
    </w:lvl>
    <w:lvl w:ilvl="8" w:tplc="041F001B" w:tentative="1">
      <w:start w:val="1"/>
      <w:numFmt w:val="bullet"/>
      <w:lvlText w:val=""/>
      <w:lvlJc w:val="left"/>
      <w:pPr>
        <w:ind w:left="7200" w:hanging="360"/>
      </w:pPr>
      <w:rPr>
        <w:rFonts w:ascii="Wingdings" w:hAnsi="Wingdings" w:hint="default"/>
      </w:rPr>
    </w:lvl>
  </w:abstractNum>
  <w:abstractNum w:abstractNumId="10">
    <w:nsid w:val="4AB265FB"/>
    <w:multiLevelType w:val="hybridMultilevel"/>
    <w:tmpl w:val="18D036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C3729D0"/>
    <w:multiLevelType w:val="hybridMultilevel"/>
    <w:tmpl w:val="F27AE498"/>
    <w:lvl w:ilvl="0" w:tplc="041F0001">
      <w:start w:val="1"/>
      <w:numFmt w:val="lowerLetter"/>
      <w:lvlText w:val="(%1)"/>
      <w:lvlJc w:val="left"/>
      <w:pPr>
        <w:ind w:left="3198" w:hanging="360"/>
      </w:pPr>
      <w:rPr>
        <w:rFonts w:hint="default"/>
      </w:rPr>
    </w:lvl>
    <w:lvl w:ilvl="1" w:tplc="041F0003" w:tentative="1">
      <w:start w:val="1"/>
      <w:numFmt w:val="lowerLetter"/>
      <w:lvlText w:val="%2."/>
      <w:lvlJc w:val="left"/>
      <w:pPr>
        <w:ind w:left="3918" w:hanging="360"/>
      </w:pPr>
    </w:lvl>
    <w:lvl w:ilvl="2" w:tplc="041F0005" w:tentative="1">
      <w:start w:val="1"/>
      <w:numFmt w:val="lowerRoman"/>
      <w:lvlText w:val="%3."/>
      <w:lvlJc w:val="right"/>
      <w:pPr>
        <w:ind w:left="4638" w:hanging="180"/>
      </w:pPr>
    </w:lvl>
    <w:lvl w:ilvl="3" w:tplc="041F0001" w:tentative="1">
      <w:start w:val="1"/>
      <w:numFmt w:val="decimal"/>
      <w:lvlText w:val="%4."/>
      <w:lvlJc w:val="left"/>
      <w:pPr>
        <w:ind w:left="5358" w:hanging="360"/>
      </w:pPr>
    </w:lvl>
    <w:lvl w:ilvl="4" w:tplc="041F0003" w:tentative="1">
      <w:start w:val="1"/>
      <w:numFmt w:val="lowerLetter"/>
      <w:lvlText w:val="%5."/>
      <w:lvlJc w:val="left"/>
      <w:pPr>
        <w:ind w:left="6078" w:hanging="360"/>
      </w:pPr>
    </w:lvl>
    <w:lvl w:ilvl="5" w:tplc="041F0005" w:tentative="1">
      <w:start w:val="1"/>
      <w:numFmt w:val="lowerRoman"/>
      <w:lvlText w:val="%6."/>
      <w:lvlJc w:val="right"/>
      <w:pPr>
        <w:ind w:left="6798" w:hanging="180"/>
      </w:pPr>
    </w:lvl>
    <w:lvl w:ilvl="6" w:tplc="041F0001" w:tentative="1">
      <w:start w:val="1"/>
      <w:numFmt w:val="decimal"/>
      <w:lvlText w:val="%7."/>
      <w:lvlJc w:val="left"/>
      <w:pPr>
        <w:ind w:left="7518" w:hanging="360"/>
      </w:pPr>
    </w:lvl>
    <w:lvl w:ilvl="7" w:tplc="041F0003" w:tentative="1">
      <w:start w:val="1"/>
      <w:numFmt w:val="lowerLetter"/>
      <w:lvlText w:val="%8."/>
      <w:lvlJc w:val="left"/>
      <w:pPr>
        <w:ind w:left="8238" w:hanging="360"/>
      </w:pPr>
    </w:lvl>
    <w:lvl w:ilvl="8" w:tplc="041F0005" w:tentative="1">
      <w:start w:val="1"/>
      <w:numFmt w:val="lowerRoman"/>
      <w:lvlText w:val="%9."/>
      <w:lvlJc w:val="right"/>
      <w:pPr>
        <w:ind w:left="8958" w:hanging="180"/>
      </w:pPr>
    </w:lvl>
  </w:abstractNum>
  <w:abstractNum w:abstractNumId="12">
    <w:nsid w:val="61F8445D"/>
    <w:multiLevelType w:val="hybridMultilevel"/>
    <w:tmpl w:val="D34229CA"/>
    <w:lvl w:ilvl="0" w:tplc="946C8D54">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65E7108E"/>
    <w:multiLevelType w:val="hybridMultilevel"/>
    <w:tmpl w:val="7DC09A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BD517EB"/>
    <w:multiLevelType w:val="hybridMultilevel"/>
    <w:tmpl w:val="6DCED22C"/>
    <w:lvl w:ilvl="0" w:tplc="906E404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7375241C"/>
    <w:multiLevelType w:val="hybridMultilevel"/>
    <w:tmpl w:val="B25E5424"/>
    <w:lvl w:ilvl="0" w:tplc="041F0001">
      <w:start w:val="1"/>
      <w:numFmt w:val="decimal"/>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6">
    <w:nsid w:val="794235D0"/>
    <w:multiLevelType w:val="hybridMultilevel"/>
    <w:tmpl w:val="4724B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9"/>
  </w:num>
  <w:num w:numId="6">
    <w:abstractNumId w:val="4"/>
  </w:num>
  <w:num w:numId="7">
    <w:abstractNumId w:val="1"/>
  </w:num>
  <w:num w:numId="8">
    <w:abstractNumId w:val="11"/>
  </w:num>
  <w:num w:numId="9">
    <w:abstractNumId w:val="15"/>
  </w:num>
  <w:num w:numId="10">
    <w:abstractNumId w:val="12"/>
  </w:num>
  <w:num w:numId="11">
    <w:abstractNumId w:val="10"/>
  </w:num>
  <w:num w:numId="12">
    <w:abstractNumId w:val="13"/>
  </w:num>
  <w:num w:numId="13">
    <w:abstractNumId w:val="16"/>
  </w:num>
  <w:num w:numId="14">
    <w:abstractNumId w:val="7"/>
  </w:num>
  <w:num w:numId="15">
    <w:abstractNumId w:val="6"/>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F5FA8"/>
    <w:rsid w:val="00002611"/>
    <w:rsid w:val="00086F2C"/>
    <w:rsid w:val="001E009C"/>
    <w:rsid w:val="001E1ECB"/>
    <w:rsid w:val="001F5FA8"/>
    <w:rsid w:val="0026766B"/>
    <w:rsid w:val="00273EA0"/>
    <w:rsid w:val="00295C9F"/>
    <w:rsid w:val="002D0399"/>
    <w:rsid w:val="00312A46"/>
    <w:rsid w:val="003E24BC"/>
    <w:rsid w:val="00453CAA"/>
    <w:rsid w:val="004C1A65"/>
    <w:rsid w:val="004E1C26"/>
    <w:rsid w:val="00506AE1"/>
    <w:rsid w:val="00510831"/>
    <w:rsid w:val="00525CB8"/>
    <w:rsid w:val="00626CE3"/>
    <w:rsid w:val="006959C4"/>
    <w:rsid w:val="0071541B"/>
    <w:rsid w:val="00783E28"/>
    <w:rsid w:val="007C3B06"/>
    <w:rsid w:val="007E3D23"/>
    <w:rsid w:val="00801CF8"/>
    <w:rsid w:val="00804B5D"/>
    <w:rsid w:val="008D1314"/>
    <w:rsid w:val="008F732C"/>
    <w:rsid w:val="00907EDD"/>
    <w:rsid w:val="009542FF"/>
    <w:rsid w:val="00990ABB"/>
    <w:rsid w:val="009C7D74"/>
    <w:rsid w:val="00AB4E41"/>
    <w:rsid w:val="00BD213D"/>
    <w:rsid w:val="00C2111C"/>
    <w:rsid w:val="00C65648"/>
    <w:rsid w:val="00C92C64"/>
    <w:rsid w:val="00CB0F17"/>
    <w:rsid w:val="00CC3EED"/>
    <w:rsid w:val="00CC43FF"/>
    <w:rsid w:val="00D55BA2"/>
    <w:rsid w:val="00D62E9F"/>
    <w:rsid w:val="00D72895"/>
    <w:rsid w:val="00DC2ADC"/>
    <w:rsid w:val="00E11635"/>
    <w:rsid w:val="00E230BE"/>
    <w:rsid w:val="00E5786D"/>
    <w:rsid w:val="00ED1083"/>
    <w:rsid w:val="00F11975"/>
    <w:rsid w:val="00F55172"/>
    <w:rsid w:val="00FB19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39"/>
    <o:shapelayout v:ext="edit">
      <o:idmap v:ext="edit" data="1"/>
      <o:rules v:ext="edit">
        <o:r id="V:Rule1" type="connector" idref="#_x0000_s1038"/>
        <o:r id="V:Rule2" type="connector" idref="#_x0000_s1035"/>
        <o:r id="V:Rule3" type="connector" idref="#_x0000_s1034"/>
        <o:r id="V:Rule4" type="connector" idref="#_x0000_s1037"/>
        <o:r id="V:Rule5" type="connector" idref="#_x0000_s1033"/>
        <o:r id="V:Rule6" type="connector" idref="#_x0000_s1032"/>
        <o:r id="V:Rule7"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FA8"/>
    <w:rPr>
      <w:rFonts w:ascii="Calibri" w:eastAsia="Times New Roman" w:hAnsi="Calibri" w:cs="Times New Roman"/>
    </w:rPr>
  </w:style>
  <w:style w:type="paragraph" w:styleId="Heading1">
    <w:name w:val="heading 1"/>
    <w:basedOn w:val="Normal"/>
    <w:next w:val="Normal"/>
    <w:link w:val="Heading1Char"/>
    <w:uiPriority w:val="9"/>
    <w:qFormat/>
    <w:rsid w:val="001F5F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55B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subsection"/>
    <w:basedOn w:val="Normal"/>
    <w:next w:val="Normal"/>
    <w:link w:val="Heading3Char"/>
    <w:unhideWhenUsed/>
    <w:qFormat/>
    <w:rsid w:val="001F5FA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FA8"/>
    <w:pPr>
      <w:spacing w:after="0" w:line="240" w:lineRule="auto"/>
      <w:ind w:left="708"/>
    </w:pPr>
    <w:rPr>
      <w:rFonts w:ascii="Times New Roman" w:hAnsi="Times New Roman"/>
      <w:sz w:val="24"/>
      <w:szCs w:val="24"/>
      <w:lang w:eastAsia="tr-TR"/>
    </w:rPr>
  </w:style>
  <w:style w:type="character" w:customStyle="1" w:styleId="hps">
    <w:name w:val="hps"/>
    <w:rsid w:val="001F5FA8"/>
  </w:style>
  <w:style w:type="paragraph" w:styleId="BalloonText">
    <w:name w:val="Balloon Text"/>
    <w:basedOn w:val="Normal"/>
    <w:link w:val="BalloonTextChar"/>
    <w:uiPriority w:val="99"/>
    <w:semiHidden/>
    <w:unhideWhenUsed/>
    <w:rsid w:val="001F5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A8"/>
    <w:rPr>
      <w:rFonts w:ascii="Tahoma" w:eastAsia="Times New Roman" w:hAnsi="Tahoma" w:cs="Tahoma"/>
      <w:sz w:val="16"/>
      <w:szCs w:val="16"/>
    </w:rPr>
  </w:style>
  <w:style w:type="paragraph" w:styleId="BodyText">
    <w:name w:val="Body Text"/>
    <w:basedOn w:val="Normal"/>
    <w:link w:val="BodyTextChar"/>
    <w:rsid w:val="001F5FA8"/>
    <w:pPr>
      <w:spacing w:after="120"/>
    </w:pPr>
  </w:style>
  <w:style w:type="character" w:customStyle="1" w:styleId="BodyTextChar">
    <w:name w:val="Body Text Char"/>
    <w:basedOn w:val="DefaultParagraphFont"/>
    <w:link w:val="BodyText"/>
    <w:rsid w:val="001F5FA8"/>
    <w:rPr>
      <w:rFonts w:ascii="Calibri" w:eastAsia="Times New Roman" w:hAnsi="Calibri" w:cs="Times New Roman"/>
    </w:rPr>
  </w:style>
  <w:style w:type="character" w:customStyle="1" w:styleId="Heading3Char">
    <w:name w:val="Heading 3 Char"/>
    <w:aliases w:val="Subsubsection Char"/>
    <w:basedOn w:val="DefaultParagraphFont"/>
    <w:link w:val="Heading3"/>
    <w:rsid w:val="001F5FA8"/>
    <w:rPr>
      <w:rFonts w:ascii="Cambria" w:eastAsia="Times New Roman" w:hAnsi="Cambria" w:cs="Times New Roman"/>
      <w:b/>
      <w:bCs/>
      <w:sz w:val="26"/>
      <w:szCs w:val="26"/>
    </w:rPr>
  </w:style>
  <w:style w:type="paragraph" w:customStyle="1" w:styleId="Default">
    <w:name w:val="Default"/>
    <w:rsid w:val="001F5FA8"/>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ListeParagraf1">
    <w:name w:val="Liste Paragraf1"/>
    <w:basedOn w:val="Normal"/>
    <w:qFormat/>
    <w:rsid w:val="001F5FA8"/>
    <w:pPr>
      <w:spacing w:after="0" w:line="240" w:lineRule="auto"/>
      <w:ind w:left="720" w:right="-142"/>
      <w:jc w:val="both"/>
    </w:pPr>
    <w:rPr>
      <w:rFonts w:ascii="Times New Roman" w:eastAsia="PMingLiU" w:hAnsi="Times New Roman"/>
      <w:sz w:val="24"/>
      <w:szCs w:val="24"/>
      <w:lang w:eastAsia="tr-TR"/>
    </w:rPr>
  </w:style>
  <w:style w:type="paragraph" w:customStyle="1" w:styleId="Standard">
    <w:name w:val="Standard"/>
    <w:rsid w:val="001F5FA8"/>
    <w:pPr>
      <w:tabs>
        <w:tab w:val="left" w:pos="708"/>
      </w:tabs>
      <w:suppressAutoHyphens/>
    </w:pPr>
    <w:rPr>
      <w:rFonts w:ascii="Times New Roman" w:eastAsia="SimSun" w:hAnsi="Times New Roman" w:cs="Mangal"/>
      <w:color w:val="00000A"/>
      <w:sz w:val="24"/>
      <w:szCs w:val="24"/>
      <w:lang w:val="de-DE" w:eastAsia="zh-CN" w:bidi="hi-IN"/>
    </w:rPr>
  </w:style>
  <w:style w:type="character" w:customStyle="1" w:styleId="postbody1">
    <w:name w:val="postbody1"/>
    <w:basedOn w:val="DefaultParagraphFont"/>
    <w:rsid w:val="001F5FA8"/>
    <w:rPr>
      <w:rFonts w:ascii="Verdana" w:hAnsi="Verdana" w:hint="default"/>
      <w:sz w:val="22"/>
      <w:szCs w:val="22"/>
    </w:rPr>
  </w:style>
  <w:style w:type="character" w:customStyle="1" w:styleId="Heading1Char">
    <w:name w:val="Heading 1 Char"/>
    <w:basedOn w:val="DefaultParagraphFont"/>
    <w:link w:val="Heading1"/>
    <w:uiPriority w:val="9"/>
    <w:rsid w:val="001F5FA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rsid w:val="001F5FA8"/>
    <w:rPr>
      <w:color w:val="0000FF"/>
      <w:u w:val="single"/>
    </w:rPr>
  </w:style>
  <w:style w:type="paragraph" w:customStyle="1" w:styleId="ekilYazs">
    <w:name w:val="Şekil Yazısı"/>
    <w:basedOn w:val="BodyText"/>
    <w:qFormat/>
    <w:rsid w:val="001F5FA8"/>
    <w:pPr>
      <w:spacing w:after="0" w:line="240" w:lineRule="auto"/>
    </w:pPr>
    <w:rPr>
      <w:rFonts w:ascii="Times New Roman" w:eastAsia="Calibri" w:hAnsi="Times New Roman"/>
      <w:sz w:val="24"/>
    </w:rPr>
  </w:style>
  <w:style w:type="paragraph" w:customStyle="1" w:styleId="izelgeYazs">
    <w:name w:val="Çizelge Yazısı"/>
    <w:basedOn w:val="BodyText"/>
    <w:qFormat/>
    <w:rsid w:val="001F5FA8"/>
    <w:pPr>
      <w:spacing w:after="0" w:line="240" w:lineRule="auto"/>
      <w:jc w:val="both"/>
    </w:pPr>
    <w:rPr>
      <w:rFonts w:ascii="Times New Roman" w:eastAsia="Calibri" w:hAnsi="Times New Roman"/>
      <w:sz w:val="24"/>
    </w:rPr>
  </w:style>
  <w:style w:type="paragraph" w:styleId="Header">
    <w:name w:val="header"/>
    <w:basedOn w:val="Normal"/>
    <w:link w:val="HeaderChar"/>
    <w:uiPriority w:val="99"/>
    <w:unhideWhenUsed/>
    <w:rsid w:val="00506AE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6AE1"/>
    <w:rPr>
      <w:rFonts w:ascii="Calibri" w:eastAsia="Times New Roman" w:hAnsi="Calibri" w:cs="Times New Roman"/>
    </w:rPr>
  </w:style>
  <w:style w:type="paragraph" w:styleId="Footer">
    <w:name w:val="footer"/>
    <w:basedOn w:val="Normal"/>
    <w:link w:val="FooterChar"/>
    <w:uiPriority w:val="99"/>
    <w:unhideWhenUsed/>
    <w:rsid w:val="00506A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6AE1"/>
    <w:rPr>
      <w:rFonts w:ascii="Calibri" w:eastAsia="Times New Roman" w:hAnsi="Calibri" w:cs="Times New Roman"/>
    </w:rPr>
  </w:style>
  <w:style w:type="character" w:customStyle="1" w:styleId="Heading2Char">
    <w:name w:val="Heading 2 Char"/>
    <w:basedOn w:val="DefaultParagraphFont"/>
    <w:link w:val="Heading2"/>
    <w:uiPriority w:val="9"/>
    <w:semiHidden/>
    <w:rsid w:val="00D55BA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D55BA2"/>
    <w:rPr>
      <w:b/>
      <w:bCs/>
    </w:rPr>
  </w:style>
  <w:style w:type="character" w:customStyle="1" w:styleId="apple-converted-space">
    <w:name w:val="apple-converted-space"/>
    <w:basedOn w:val="DefaultParagraphFont"/>
    <w:rsid w:val="00D55B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jpeg"/><Relationship Id="rId39" Type="http://schemas.openxmlformats.org/officeDocument/2006/relationships/hyperlink" Target="http://www.osti.gov/energycitations/searchresults.jsp?Author=Crescenti,%20A.B." TargetMode="External"/><Relationship Id="rId21" Type="http://schemas.openxmlformats.org/officeDocument/2006/relationships/diagramData" Target="diagrams/data3.xml"/><Relationship Id="rId34" Type="http://schemas.openxmlformats.org/officeDocument/2006/relationships/image" Target="cid:image003.gif@01CA4900.4B044880" TargetMode="External"/><Relationship Id="rId42" Type="http://schemas.openxmlformats.org/officeDocument/2006/relationships/image" Target="media/image9.emf"/><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png"/><Relationship Id="rId63" Type="http://schemas.openxmlformats.org/officeDocument/2006/relationships/image" Target="media/image30.jpeg"/><Relationship Id="rId68" Type="http://schemas.openxmlformats.org/officeDocument/2006/relationships/hyperlink" Target="http://tuikapp.tuik.gov.tr/adnksdagitapp/adnks.zul" TargetMode="External"/><Relationship Id="rId76" Type="http://schemas.openxmlformats.org/officeDocument/2006/relationships/hyperlink" Target="http://www.goldschmidt2012.org/"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dstout@ucsd.edu" TargetMode="Externa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4.jpeg"/><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chart" Target="charts/chart2.xml"/><Relationship Id="rId37" Type="http://schemas.openxmlformats.org/officeDocument/2006/relationships/hyperlink" Target="http://www.osti.gov/energycitations/searchresults.jsp?Author=Arosio,%20S." TargetMode="External"/><Relationship Id="rId40" Type="http://schemas.openxmlformats.org/officeDocument/2006/relationships/hyperlink" Target="http://www.engineeringvillage2.org/controller/servlet/Controller?CID=quickSearchCitationFormat&amp;searchWord1=%7bLockwood%2C+F.C.%7d&amp;section1=AU&amp;database=1&amp;yearselect=yearrange&amp;sort=yr" TargetMode="External"/><Relationship Id="rId45" Type="http://schemas.openxmlformats.org/officeDocument/2006/relationships/image" Target="media/image12.png"/><Relationship Id="rId53" Type="http://schemas.openxmlformats.org/officeDocument/2006/relationships/image" Target="media/image20.jpeg"/><Relationship Id="rId58" Type="http://schemas.openxmlformats.org/officeDocument/2006/relationships/image" Target="media/image25.png"/><Relationship Id="rId66" Type="http://schemas.openxmlformats.org/officeDocument/2006/relationships/chart" Target="charts/chart5.xml"/><Relationship Id="rId74" Type="http://schemas.openxmlformats.org/officeDocument/2006/relationships/hyperlink" Target="http://abstracts.acs.org/chem/243nm/meetingview.php?page=session&amp;par_id=359" TargetMode="External"/><Relationship Id="rId79" Type="http://schemas.openxmlformats.org/officeDocument/2006/relationships/hyperlink" Target="http://www.pandora.com.tr/yazar/m-yildiz-hosgoren/114479" TargetMode="Externa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hyperlink" Target="http://www.pandora.com.tr/yazar/tim-stott/93705" TargetMode="External"/><Relationship Id="rId19"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7.jpeg"/><Relationship Id="rId43" Type="http://schemas.openxmlformats.org/officeDocument/2006/relationships/image" Target="media/image10.emf"/><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chart" Target="charts/chart3.xml"/><Relationship Id="rId69" Type="http://schemas.openxmlformats.org/officeDocument/2006/relationships/hyperlink" Target="http://www.who.int/water_sanitation_health/medicalwaste/wastemanag/en/index.html" TargetMode="External"/><Relationship Id="rId77" Type="http://schemas.openxmlformats.org/officeDocument/2006/relationships/hyperlink" Target="mailto:icepr2012@international-aset.com" TargetMode="Externa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hyperlink" Target="http://ecar.kau.edu.sa/Default.aspx?Site_ID=188020&amp;amp;lng=EN" TargetMode="External"/><Relationship Id="rId80" Type="http://schemas.openxmlformats.org/officeDocument/2006/relationships/hyperlink" Target="http://www.pandora.com.tr/yazar/pierre-y-julien/110645"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6.png"/><Relationship Id="rId38" Type="http://schemas.openxmlformats.org/officeDocument/2006/relationships/hyperlink" Target="http://www.osti.gov/energycitations/searchresults.jsp?Author=Cassitto,%20L.G." TargetMode="External"/><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hyperlink" Target="http://www.eracevre.com/" TargetMode="External"/><Relationship Id="rId20" Type="http://schemas.microsoft.com/office/2007/relationships/diagramDrawing" Target="diagrams/drawing2.xml"/><Relationship Id="rId41" Type="http://schemas.openxmlformats.org/officeDocument/2006/relationships/hyperlink" Target="http://www.engineeringvillage2.org/controller/servlet/Controller?CID=quickSearchCitationFormat&amp;searchWord1=%7bOu%2C+J.J.%7d&amp;section1=AU&amp;database=1&amp;yearselect=yearrange&amp;sort=yr" TargetMode="External"/><Relationship Id="rId54" Type="http://schemas.openxmlformats.org/officeDocument/2006/relationships/image" Target="media/image21.jpeg"/><Relationship Id="rId62" Type="http://schemas.openxmlformats.org/officeDocument/2006/relationships/image" Target="media/image29.png"/><Relationship Id="rId70" Type="http://schemas.openxmlformats.org/officeDocument/2006/relationships/hyperlink" Target="http://icgg11.ucsd.edu/" TargetMode="External"/><Relationship Id="rId75" Type="http://schemas.openxmlformats.org/officeDocument/2006/relationships/hyperlink" Target="http://www.argentina-ambiental.com.ar/" TargetMode="External"/><Relationship Id="rId83"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3.jpeg"/><Relationship Id="rId36" Type="http://schemas.openxmlformats.org/officeDocument/2006/relationships/image" Target="media/image8.png"/><Relationship Id="rId49" Type="http://schemas.openxmlformats.org/officeDocument/2006/relationships/image" Target="media/image16.jpeg"/><Relationship Id="rId57" Type="http://schemas.openxmlformats.org/officeDocument/2006/relationships/image" Target="media/image24.png"/><Relationship Id="rId10" Type="http://schemas.openxmlformats.org/officeDocument/2006/relationships/footer" Target="footer2.xml"/><Relationship Id="rId31" Type="http://schemas.openxmlformats.org/officeDocument/2006/relationships/chart" Target="charts/chart1.xml"/><Relationship Id="rId44" Type="http://schemas.openxmlformats.org/officeDocument/2006/relationships/image" Target="media/image11.pn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chart" Target="charts/chart4.xml"/><Relationship Id="rId73" Type="http://schemas.openxmlformats.org/officeDocument/2006/relationships/hyperlink" Target="http://www.empg2012.uni-kiel.de/" TargetMode="External"/><Relationship Id="rId78" Type="http://schemas.openxmlformats.org/officeDocument/2006/relationships/hyperlink" Target="http://www.biochemistry.org/Conferences/AllConferences/tabid/379/View/Conference/MeetingNo/BSB002/Default.aspx" TargetMode="External"/><Relationship Id="rId81" Type="http://schemas.openxmlformats.org/officeDocument/2006/relationships/hyperlink" Target="http://www.pandora.com.tr/yazar/david-huddart/93704"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Kitap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Kitap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25405352368416"/>
          <c:y val="0.13495369011077021"/>
          <c:w val="0.7043105375716926"/>
          <c:h val="0.72139863872948529"/>
        </c:manualLayout>
      </c:layout>
      <c:lineChart>
        <c:grouping val="standard"/>
        <c:varyColors val="0"/>
        <c:ser>
          <c:idx val="0"/>
          <c:order val="0"/>
          <c:tx>
            <c:strRef>
              <c:f>Sayfa1!$D$1:$D$2</c:f>
              <c:strCache>
                <c:ptCount val="1"/>
                <c:pt idx="0">
                  <c:v>Maksimum, (µg/m3) 1.Örnekleme</c:v>
                </c:pt>
              </c:strCache>
            </c:strRef>
          </c:tx>
          <c:marker>
            <c:symbol val="none"/>
          </c:marker>
          <c:cat>
            <c:strRef>
              <c:f>Sayfa1!$A$3:$A$7</c:f>
              <c:strCache>
                <c:ptCount val="5"/>
                <c:pt idx="0">
                  <c:v>Benzen</c:v>
                </c:pt>
                <c:pt idx="1">
                  <c:v>Toluen</c:v>
                </c:pt>
                <c:pt idx="2">
                  <c:v>Etilbenzen</c:v>
                </c:pt>
                <c:pt idx="3">
                  <c:v>mp-Ksilen</c:v>
                </c:pt>
                <c:pt idx="4">
                  <c:v>o-Ksilen</c:v>
                </c:pt>
              </c:strCache>
            </c:strRef>
          </c:cat>
          <c:val>
            <c:numRef>
              <c:f>Sayfa1!$D$3:$D$7</c:f>
              <c:numCache>
                <c:formatCode>General</c:formatCode>
                <c:ptCount val="5"/>
                <c:pt idx="0">
                  <c:v>771.5</c:v>
                </c:pt>
                <c:pt idx="1">
                  <c:v>7834.3</c:v>
                </c:pt>
                <c:pt idx="2">
                  <c:v>3717.1</c:v>
                </c:pt>
                <c:pt idx="3">
                  <c:v>2942.3</c:v>
                </c:pt>
                <c:pt idx="4">
                  <c:v>1242.4000000000001</c:v>
                </c:pt>
              </c:numCache>
            </c:numRef>
          </c:val>
          <c:smooth val="0"/>
        </c:ser>
        <c:ser>
          <c:idx val="1"/>
          <c:order val="1"/>
          <c:tx>
            <c:strRef>
              <c:f>Sayfa1!$E$1:$E$2</c:f>
              <c:strCache>
                <c:ptCount val="1"/>
                <c:pt idx="0">
                  <c:v>Maksimum, (µg/m3) 2.Örnekleme</c:v>
                </c:pt>
              </c:strCache>
            </c:strRef>
          </c:tx>
          <c:marker>
            <c:symbol val="none"/>
          </c:marker>
          <c:cat>
            <c:strRef>
              <c:f>Sayfa1!$A$3:$A$7</c:f>
              <c:strCache>
                <c:ptCount val="5"/>
                <c:pt idx="0">
                  <c:v>Benzen</c:v>
                </c:pt>
                <c:pt idx="1">
                  <c:v>Toluen</c:v>
                </c:pt>
                <c:pt idx="2">
                  <c:v>Etilbenzen</c:v>
                </c:pt>
                <c:pt idx="3">
                  <c:v>mp-Ksilen</c:v>
                </c:pt>
                <c:pt idx="4">
                  <c:v>o-Ksilen</c:v>
                </c:pt>
              </c:strCache>
            </c:strRef>
          </c:cat>
          <c:val>
            <c:numRef>
              <c:f>Sayfa1!$E$3:$E$7</c:f>
              <c:numCache>
                <c:formatCode>General</c:formatCode>
                <c:ptCount val="5"/>
                <c:pt idx="0">
                  <c:v>3137.8</c:v>
                </c:pt>
                <c:pt idx="1">
                  <c:v>6064.7</c:v>
                </c:pt>
                <c:pt idx="2">
                  <c:v>1924.5</c:v>
                </c:pt>
                <c:pt idx="3">
                  <c:v>4013.5</c:v>
                </c:pt>
                <c:pt idx="4">
                  <c:v>16521</c:v>
                </c:pt>
              </c:numCache>
            </c:numRef>
          </c:val>
          <c:smooth val="0"/>
        </c:ser>
        <c:dLbls>
          <c:showLegendKey val="0"/>
          <c:showVal val="0"/>
          <c:showCatName val="0"/>
          <c:showSerName val="0"/>
          <c:showPercent val="0"/>
          <c:showBubbleSize val="0"/>
        </c:dLbls>
        <c:marker val="1"/>
        <c:smooth val="0"/>
        <c:axId val="185597952"/>
        <c:axId val="185599488"/>
      </c:lineChart>
      <c:catAx>
        <c:axId val="185597952"/>
        <c:scaling>
          <c:orientation val="minMax"/>
        </c:scaling>
        <c:delete val="0"/>
        <c:axPos val="b"/>
        <c:majorTickMark val="out"/>
        <c:minorTickMark val="none"/>
        <c:tickLblPos val="nextTo"/>
        <c:crossAx val="185599488"/>
        <c:crosses val="autoZero"/>
        <c:auto val="1"/>
        <c:lblAlgn val="ctr"/>
        <c:lblOffset val="100"/>
        <c:noMultiLvlLbl val="0"/>
      </c:catAx>
      <c:valAx>
        <c:axId val="185599488"/>
        <c:scaling>
          <c:orientation val="minMax"/>
        </c:scaling>
        <c:delete val="0"/>
        <c:axPos val="l"/>
        <c:majorGridlines/>
        <c:numFmt formatCode="General" sourceLinked="1"/>
        <c:majorTickMark val="out"/>
        <c:minorTickMark val="none"/>
        <c:tickLblPos val="nextTo"/>
        <c:crossAx val="185597952"/>
        <c:crosses val="autoZero"/>
        <c:crossBetween val="between"/>
      </c:valAx>
    </c:plotArea>
    <c:legend>
      <c:legendPos val="r"/>
      <c:layout>
        <c:manualLayout>
          <c:xMode val="edge"/>
          <c:yMode val="edge"/>
          <c:x val="0.76117891513560865"/>
          <c:y val="0.13480991147293112"/>
          <c:w val="0.23604330708661495"/>
          <c:h val="0.49632493215490087"/>
        </c:manualLayout>
      </c:layout>
      <c:overlay val="0"/>
      <c:spPr>
        <a:solidFill>
          <a:schemeClr val="bg1"/>
        </a:solidFill>
        <a:ln>
          <a:noFill/>
        </a:ln>
      </c:spPr>
      <c:txPr>
        <a:bodyPr/>
        <a:lstStyle/>
        <a:p>
          <a:pPr>
            <a:defRPr sz="800" b="0">
              <a:latin typeface="Arial" pitchFamily="34" charset="0"/>
              <a:cs typeface="Arial"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191271670902595E-2"/>
          <c:y val="0.13495369011077021"/>
          <c:w val="0.7700648122912308"/>
          <c:h val="0.72139863872948573"/>
        </c:manualLayout>
      </c:layout>
      <c:lineChart>
        <c:grouping val="standard"/>
        <c:varyColors val="0"/>
        <c:ser>
          <c:idx val="0"/>
          <c:order val="0"/>
          <c:tx>
            <c:strRef>
              <c:f>Sayfa1!$B$1:$B$2</c:f>
              <c:strCache>
                <c:ptCount val="1"/>
                <c:pt idx="0">
                  <c:v>Minimum, (µg/m3) 1.Örnekleme</c:v>
                </c:pt>
              </c:strCache>
            </c:strRef>
          </c:tx>
          <c:marker>
            <c:symbol val="none"/>
          </c:marker>
          <c:cat>
            <c:strRef>
              <c:f>Sayfa1!$A$3:$A$7</c:f>
              <c:strCache>
                <c:ptCount val="5"/>
                <c:pt idx="0">
                  <c:v>Benzen</c:v>
                </c:pt>
                <c:pt idx="1">
                  <c:v>Toluen</c:v>
                </c:pt>
                <c:pt idx="2">
                  <c:v>Etilbenzen</c:v>
                </c:pt>
                <c:pt idx="3">
                  <c:v>mp-Ksilen</c:v>
                </c:pt>
                <c:pt idx="4">
                  <c:v>o-Ksilen</c:v>
                </c:pt>
              </c:strCache>
            </c:strRef>
          </c:cat>
          <c:val>
            <c:numRef>
              <c:f>Sayfa1!$B$3:$B$7</c:f>
              <c:numCache>
                <c:formatCode>General</c:formatCode>
                <c:ptCount val="5"/>
                <c:pt idx="0">
                  <c:v>60.4</c:v>
                </c:pt>
                <c:pt idx="1">
                  <c:v>276.60000000000002</c:v>
                </c:pt>
                <c:pt idx="2">
                  <c:v>36.800000000000004</c:v>
                </c:pt>
                <c:pt idx="3">
                  <c:v>14.8</c:v>
                </c:pt>
                <c:pt idx="4">
                  <c:v>9.6</c:v>
                </c:pt>
              </c:numCache>
            </c:numRef>
          </c:val>
          <c:smooth val="0"/>
        </c:ser>
        <c:ser>
          <c:idx val="1"/>
          <c:order val="1"/>
          <c:tx>
            <c:strRef>
              <c:f>Sayfa1!$C$1:$C$2</c:f>
              <c:strCache>
                <c:ptCount val="1"/>
                <c:pt idx="0">
                  <c:v>Minimum, (µg/m3) 2.Örnekleme</c:v>
                </c:pt>
              </c:strCache>
            </c:strRef>
          </c:tx>
          <c:marker>
            <c:symbol val="none"/>
          </c:marker>
          <c:cat>
            <c:strRef>
              <c:f>Sayfa1!$A$3:$A$7</c:f>
              <c:strCache>
                <c:ptCount val="5"/>
                <c:pt idx="0">
                  <c:v>Benzen</c:v>
                </c:pt>
                <c:pt idx="1">
                  <c:v>Toluen</c:v>
                </c:pt>
                <c:pt idx="2">
                  <c:v>Etilbenzen</c:v>
                </c:pt>
                <c:pt idx="3">
                  <c:v>mp-Ksilen</c:v>
                </c:pt>
                <c:pt idx="4">
                  <c:v>o-Ksilen</c:v>
                </c:pt>
              </c:strCache>
            </c:strRef>
          </c:cat>
          <c:val>
            <c:numRef>
              <c:f>Sayfa1!$C$3:$C$7</c:f>
              <c:numCache>
                <c:formatCode>General</c:formatCode>
                <c:ptCount val="5"/>
                <c:pt idx="0">
                  <c:v>5.6</c:v>
                </c:pt>
                <c:pt idx="1">
                  <c:v>23.4</c:v>
                </c:pt>
                <c:pt idx="2">
                  <c:v>4.9000000000000004</c:v>
                </c:pt>
                <c:pt idx="3">
                  <c:v>5.3</c:v>
                </c:pt>
                <c:pt idx="4">
                  <c:v>2.6</c:v>
                </c:pt>
              </c:numCache>
            </c:numRef>
          </c:val>
          <c:smooth val="0"/>
        </c:ser>
        <c:dLbls>
          <c:showLegendKey val="0"/>
          <c:showVal val="0"/>
          <c:showCatName val="0"/>
          <c:showSerName val="0"/>
          <c:showPercent val="0"/>
          <c:showBubbleSize val="0"/>
        </c:dLbls>
        <c:marker val="1"/>
        <c:smooth val="0"/>
        <c:axId val="185612544"/>
        <c:axId val="185626624"/>
      </c:lineChart>
      <c:catAx>
        <c:axId val="185612544"/>
        <c:scaling>
          <c:orientation val="minMax"/>
        </c:scaling>
        <c:delete val="0"/>
        <c:axPos val="b"/>
        <c:majorTickMark val="out"/>
        <c:minorTickMark val="none"/>
        <c:tickLblPos val="nextTo"/>
        <c:crossAx val="185626624"/>
        <c:crosses val="autoZero"/>
        <c:auto val="1"/>
        <c:lblAlgn val="ctr"/>
        <c:lblOffset val="100"/>
        <c:noMultiLvlLbl val="0"/>
      </c:catAx>
      <c:valAx>
        <c:axId val="185626624"/>
        <c:scaling>
          <c:orientation val="minMax"/>
        </c:scaling>
        <c:delete val="0"/>
        <c:axPos val="l"/>
        <c:majorGridlines/>
        <c:numFmt formatCode="General" sourceLinked="1"/>
        <c:majorTickMark val="out"/>
        <c:minorTickMark val="none"/>
        <c:tickLblPos val="nextTo"/>
        <c:crossAx val="185612544"/>
        <c:crosses val="autoZero"/>
        <c:crossBetween val="between"/>
      </c:valAx>
    </c:plotArea>
    <c:legend>
      <c:legendPos val="r"/>
      <c:layout>
        <c:manualLayout>
          <c:xMode val="edge"/>
          <c:yMode val="edge"/>
          <c:x val="0.72017847769029431"/>
          <c:y val="0.13480991147293123"/>
          <c:w val="0.27704406686006511"/>
          <c:h val="0.47816046250032701"/>
        </c:manualLayout>
      </c:layout>
      <c:overlay val="0"/>
      <c:spPr>
        <a:solidFill>
          <a:schemeClr val="bg1"/>
        </a:solidFill>
        <a:ln>
          <a:noFill/>
        </a:ln>
      </c:spPr>
      <c:txPr>
        <a:bodyPr/>
        <a:lstStyle/>
        <a:p>
          <a:pPr>
            <a:defRPr sz="800" b="0">
              <a:latin typeface="Arial" pitchFamily="34" charset="0"/>
              <a:cs typeface="Arial"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041777669296989E-2"/>
          <c:y val="0.125637565302268"/>
          <c:w val="0.90623609056425547"/>
          <c:h val="0.61714796131616068"/>
        </c:manualLayout>
      </c:layout>
      <c:barChart>
        <c:barDir val="col"/>
        <c:grouping val="clustered"/>
        <c:varyColors val="0"/>
        <c:ser>
          <c:idx val="1"/>
          <c:order val="0"/>
          <c:tx>
            <c:strRef>
              <c:f>Sayfa1!$B$2</c:f>
              <c:strCache>
                <c:ptCount val="1"/>
                <c:pt idx="0">
                  <c:v>Bolu</c:v>
                </c:pt>
              </c:strCache>
            </c:strRef>
          </c:tx>
          <c:invertIfNegative val="0"/>
          <c:dLbls>
            <c:txPr>
              <a:bodyPr rot="-5400000" vert="horz"/>
              <a:lstStyle/>
              <a:p>
                <a:pPr>
                  <a:defRPr sz="898">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numRef>
              <c:f>Sayfa1!$A$3:$A$6</c:f>
              <c:numCache>
                <c:formatCode>General</c:formatCode>
                <c:ptCount val="4"/>
                <c:pt idx="0">
                  <c:v>2007</c:v>
                </c:pt>
                <c:pt idx="1">
                  <c:v>2008</c:v>
                </c:pt>
                <c:pt idx="2">
                  <c:v>2009</c:v>
                </c:pt>
                <c:pt idx="3">
                  <c:v>2010</c:v>
                </c:pt>
              </c:numCache>
            </c:numRef>
          </c:cat>
          <c:val>
            <c:numRef>
              <c:f>Sayfa1!$B$3:$B$6</c:f>
              <c:numCache>
                <c:formatCode>#,##0</c:formatCode>
                <c:ptCount val="4"/>
                <c:pt idx="0">
                  <c:v>270417</c:v>
                </c:pt>
                <c:pt idx="1">
                  <c:v>268882</c:v>
                </c:pt>
                <c:pt idx="2">
                  <c:v>271545</c:v>
                </c:pt>
                <c:pt idx="3">
                  <c:v>271208</c:v>
                </c:pt>
              </c:numCache>
            </c:numRef>
          </c:val>
        </c:ser>
        <c:ser>
          <c:idx val="2"/>
          <c:order val="1"/>
          <c:tx>
            <c:strRef>
              <c:f>Sayfa1!$C$2</c:f>
              <c:strCache>
                <c:ptCount val="1"/>
                <c:pt idx="0">
                  <c:v>Düzce</c:v>
                </c:pt>
              </c:strCache>
            </c:strRef>
          </c:tx>
          <c:invertIfNegative val="0"/>
          <c:dLbls>
            <c:txPr>
              <a:bodyPr rot="-5400000" vert="horz"/>
              <a:lstStyle/>
              <a:p>
                <a:pPr>
                  <a:defRPr sz="898">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numRef>
              <c:f>Sayfa1!$A$3:$A$6</c:f>
              <c:numCache>
                <c:formatCode>General</c:formatCode>
                <c:ptCount val="4"/>
                <c:pt idx="0">
                  <c:v>2007</c:v>
                </c:pt>
                <c:pt idx="1">
                  <c:v>2008</c:v>
                </c:pt>
                <c:pt idx="2">
                  <c:v>2009</c:v>
                </c:pt>
                <c:pt idx="3">
                  <c:v>2010</c:v>
                </c:pt>
              </c:numCache>
            </c:numRef>
          </c:cat>
          <c:val>
            <c:numRef>
              <c:f>Sayfa1!$C$3:$C$6</c:f>
              <c:numCache>
                <c:formatCode>#,##0</c:formatCode>
                <c:ptCount val="4"/>
                <c:pt idx="0">
                  <c:v>323328</c:v>
                </c:pt>
                <c:pt idx="1">
                  <c:v>328611</c:v>
                </c:pt>
                <c:pt idx="2">
                  <c:v>335156</c:v>
                </c:pt>
                <c:pt idx="3">
                  <c:v>338188</c:v>
                </c:pt>
              </c:numCache>
            </c:numRef>
          </c:val>
        </c:ser>
        <c:ser>
          <c:idx val="3"/>
          <c:order val="2"/>
          <c:tx>
            <c:strRef>
              <c:f>Sayfa1!$D$2</c:f>
              <c:strCache>
                <c:ptCount val="1"/>
                <c:pt idx="0">
                  <c:v>Sakarya</c:v>
                </c:pt>
              </c:strCache>
            </c:strRef>
          </c:tx>
          <c:invertIfNegative val="0"/>
          <c:dLbls>
            <c:txPr>
              <a:bodyPr rot="-5400000" vert="horz"/>
              <a:lstStyle/>
              <a:p>
                <a:pPr>
                  <a:defRPr sz="898">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numRef>
              <c:f>Sayfa1!$A$3:$A$6</c:f>
              <c:numCache>
                <c:formatCode>General</c:formatCode>
                <c:ptCount val="4"/>
                <c:pt idx="0">
                  <c:v>2007</c:v>
                </c:pt>
                <c:pt idx="1">
                  <c:v>2008</c:v>
                </c:pt>
                <c:pt idx="2">
                  <c:v>2009</c:v>
                </c:pt>
                <c:pt idx="3">
                  <c:v>2010</c:v>
                </c:pt>
              </c:numCache>
            </c:numRef>
          </c:cat>
          <c:val>
            <c:numRef>
              <c:f>Sayfa1!$D$3:$D$6</c:f>
              <c:numCache>
                <c:formatCode>#,##0</c:formatCode>
                <c:ptCount val="4"/>
                <c:pt idx="0">
                  <c:v>835222</c:v>
                </c:pt>
                <c:pt idx="1">
                  <c:v>851292</c:v>
                </c:pt>
                <c:pt idx="2">
                  <c:v>861570</c:v>
                </c:pt>
                <c:pt idx="3">
                  <c:v>872872</c:v>
                </c:pt>
              </c:numCache>
            </c:numRef>
          </c:val>
        </c:ser>
        <c:dLbls>
          <c:showLegendKey val="0"/>
          <c:showVal val="0"/>
          <c:showCatName val="0"/>
          <c:showSerName val="0"/>
          <c:showPercent val="0"/>
          <c:showBubbleSize val="0"/>
        </c:dLbls>
        <c:gapWidth val="150"/>
        <c:axId val="187571584"/>
        <c:axId val="187581568"/>
      </c:barChart>
      <c:catAx>
        <c:axId val="18757158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87581568"/>
        <c:crosses val="autoZero"/>
        <c:auto val="1"/>
        <c:lblAlgn val="ctr"/>
        <c:lblOffset val="100"/>
        <c:noMultiLvlLbl val="0"/>
      </c:catAx>
      <c:valAx>
        <c:axId val="187581568"/>
        <c:scaling>
          <c:orientation val="minMax"/>
          <c:min val="1"/>
        </c:scaling>
        <c:delete val="1"/>
        <c:axPos val="l"/>
        <c:title>
          <c:tx>
            <c:rich>
              <a:bodyPr rot="-5400000" vert="horz"/>
              <a:lstStyle/>
              <a:p>
                <a:pPr>
                  <a:defRPr sz="998">
                    <a:latin typeface="Times New Roman" pitchFamily="18" charset="0"/>
                    <a:cs typeface="Times New Roman" pitchFamily="18" charset="0"/>
                  </a:defRPr>
                </a:pPr>
                <a:r>
                  <a:rPr lang="tr-TR" sz="998" baseline="0">
                    <a:latin typeface="Times New Roman" pitchFamily="18" charset="0"/>
                    <a:cs typeface="Times New Roman" pitchFamily="18" charset="0"/>
                  </a:rPr>
                  <a:t>Nüfus (kişi)</a:t>
                </a:r>
                <a:endParaRPr lang="tr-TR" sz="1000">
                  <a:latin typeface="Times New Roman" pitchFamily="18" charset="0"/>
                  <a:cs typeface="Times New Roman" pitchFamily="18" charset="0"/>
                </a:endParaRPr>
              </a:p>
            </c:rich>
          </c:tx>
          <c:overlay val="0"/>
        </c:title>
        <c:numFmt formatCode="#,##0" sourceLinked="1"/>
        <c:majorTickMark val="out"/>
        <c:minorTickMark val="none"/>
        <c:tickLblPos val="none"/>
        <c:crossAx val="187571584"/>
        <c:crosses val="autoZero"/>
        <c:crossBetween val="between"/>
      </c:valAx>
    </c:plotArea>
    <c:legend>
      <c:legendPos val="b"/>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Sayfa1!$B$2</c:f>
              <c:strCache>
                <c:ptCount val="1"/>
                <c:pt idx="0">
                  <c:v>Bolu</c:v>
                </c:pt>
              </c:strCache>
            </c:strRef>
          </c:tx>
          <c:invertIfNegative val="0"/>
          <c:dLbls>
            <c:txPr>
              <a:bodyPr rot="-5400000" vert="horz"/>
              <a:lstStyle/>
              <a:p>
                <a:pPr algn="ctr">
                  <a:defRPr sz="798"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dLbls>
          <c:cat>
            <c:numRef>
              <c:f>Sayfa1!$A$3:$A$14</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Sayfa1!$B$3:$B$14</c:f>
              <c:numCache>
                <c:formatCode>General</c:formatCode>
                <c:ptCount val="12"/>
                <c:pt idx="6" formatCode="0">
                  <c:v>198.48400000000001</c:v>
                </c:pt>
                <c:pt idx="7" formatCode="0">
                  <c:v>202.00800000000001</c:v>
                </c:pt>
                <c:pt idx="8" formatCode="0">
                  <c:v>210.44</c:v>
                </c:pt>
                <c:pt idx="9" formatCode="0">
                  <c:v>234.411</c:v>
                </c:pt>
                <c:pt idx="10" formatCode="0">
                  <c:v>197.18</c:v>
                </c:pt>
                <c:pt idx="11" formatCode="0">
                  <c:v>128.42800000000074</c:v>
                </c:pt>
              </c:numCache>
            </c:numRef>
          </c:val>
        </c:ser>
        <c:ser>
          <c:idx val="2"/>
          <c:order val="1"/>
          <c:tx>
            <c:strRef>
              <c:f>Sayfa1!$C$2</c:f>
              <c:strCache>
                <c:ptCount val="1"/>
                <c:pt idx="0">
                  <c:v>Düzce</c:v>
                </c:pt>
              </c:strCache>
            </c:strRef>
          </c:tx>
          <c:invertIfNegative val="0"/>
          <c:dLbls>
            <c:txPr>
              <a:bodyPr rot="-5400000" vert="horz"/>
              <a:lstStyle/>
              <a:p>
                <a:pPr algn="ctr">
                  <a:defRPr sz="798"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dLbls>
          <c:cat>
            <c:numRef>
              <c:f>Sayfa1!$A$3:$A$14</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Sayfa1!$C$3:$C$14</c:f>
              <c:numCache>
                <c:formatCode>General</c:formatCode>
                <c:ptCount val="12"/>
                <c:pt idx="6" formatCode="0">
                  <c:v>80.813999999999993</c:v>
                </c:pt>
                <c:pt idx="7" formatCode="0">
                  <c:v>139.24599999999998</c:v>
                </c:pt>
                <c:pt idx="8" formatCode="0">
                  <c:v>139.24599999999998</c:v>
                </c:pt>
                <c:pt idx="9" formatCode="0">
                  <c:v>183.136844</c:v>
                </c:pt>
                <c:pt idx="10" formatCode="0">
                  <c:v>199.53300000000002</c:v>
                </c:pt>
                <c:pt idx="11" formatCode="0">
                  <c:v>117.336</c:v>
                </c:pt>
              </c:numCache>
            </c:numRef>
          </c:val>
        </c:ser>
        <c:ser>
          <c:idx val="3"/>
          <c:order val="2"/>
          <c:tx>
            <c:strRef>
              <c:f>Sayfa1!$D$2</c:f>
              <c:strCache>
                <c:ptCount val="1"/>
                <c:pt idx="0">
                  <c:v>Sakarya</c:v>
                </c:pt>
              </c:strCache>
            </c:strRef>
          </c:tx>
          <c:invertIfNegative val="0"/>
          <c:dLbls>
            <c:txPr>
              <a:bodyPr rot="-5400000" vert="horz"/>
              <a:lstStyle/>
              <a:p>
                <a:pPr algn="ctr">
                  <a:defRPr sz="798"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dLbls>
          <c:cat>
            <c:numRef>
              <c:f>Sayfa1!$A$3:$A$14</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Sayfa1!$D$3:$D$14</c:f>
              <c:numCache>
                <c:formatCode>0</c:formatCode>
                <c:ptCount val="12"/>
                <c:pt idx="0">
                  <c:v>18.265499999999825</c:v>
                </c:pt>
                <c:pt idx="1">
                  <c:v>55.275000000000013</c:v>
                </c:pt>
                <c:pt idx="2">
                  <c:v>70.248000000000005</c:v>
                </c:pt>
                <c:pt idx="3">
                  <c:v>102.37599999999998</c:v>
                </c:pt>
                <c:pt idx="4">
                  <c:v>127.387</c:v>
                </c:pt>
                <c:pt idx="5">
                  <c:v>148.90200000000004</c:v>
                </c:pt>
                <c:pt idx="6">
                  <c:v>199.80700000000004</c:v>
                </c:pt>
                <c:pt idx="7">
                  <c:v>276.08699999999823</c:v>
                </c:pt>
                <c:pt idx="8">
                  <c:v>421.14000000000038</c:v>
                </c:pt>
                <c:pt idx="9">
                  <c:v>447.89099999999894</c:v>
                </c:pt>
                <c:pt idx="10">
                  <c:v>512.07899999999995</c:v>
                </c:pt>
                <c:pt idx="11">
                  <c:v>286.24700000000001</c:v>
                </c:pt>
              </c:numCache>
            </c:numRef>
          </c:val>
        </c:ser>
        <c:dLbls>
          <c:showLegendKey val="0"/>
          <c:showVal val="0"/>
          <c:showCatName val="0"/>
          <c:showSerName val="0"/>
          <c:showPercent val="0"/>
          <c:showBubbleSize val="0"/>
        </c:dLbls>
        <c:gapWidth val="50"/>
        <c:overlap val="-10"/>
        <c:axId val="187691008"/>
        <c:axId val="187692544"/>
      </c:barChart>
      <c:catAx>
        <c:axId val="187691008"/>
        <c:scaling>
          <c:orientation val="minMax"/>
        </c:scaling>
        <c:delete val="0"/>
        <c:axPos val="b"/>
        <c:numFmt formatCode="General" sourceLinked="1"/>
        <c:majorTickMark val="none"/>
        <c:minorTickMark val="none"/>
        <c:tickLblPos val="nextTo"/>
        <c:txPr>
          <a:bodyPr rot="0" vert="horz"/>
          <a:lstStyle/>
          <a:p>
            <a:pPr>
              <a:defRPr sz="997" b="0" i="0" u="none" strike="noStrike" baseline="0">
                <a:solidFill>
                  <a:srgbClr val="000000"/>
                </a:solidFill>
                <a:latin typeface="Times New Roman"/>
                <a:ea typeface="Times New Roman"/>
                <a:cs typeface="Times New Roman"/>
              </a:defRPr>
            </a:pPr>
            <a:endParaRPr lang="en-US"/>
          </a:p>
        </c:txPr>
        <c:crossAx val="187692544"/>
        <c:crosses val="autoZero"/>
        <c:auto val="1"/>
        <c:lblAlgn val="ctr"/>
        <c:lblOffset val="100"/>
        <c:noMultiLvlLbl val="0"/>
      </c:catAx>
      <c:valAx>
        <c:axId val="187692544"/>
        <c:scaling>
          <c:orientation val="minMax"/>
        </c:scaling>
        <c:delete val="1"/>
        <c:axPos val="l"/>
        <c:title>
          <c:tx>
            <c:rich>
              <a:bodyPr/>
              <a:lstStyle/>
              <a:p>
                <a:pPr>
                  <a:defRPr sz="898" b="1" i="0" u="none" strike="noStrike" baseline="0">
                    <a:solidFill>
                      <a:srgbClr val="000000"/>
                    </a:solidFill>
                    <a:latin typeface="Times New Roman"/>
                    <a:ea typeface="Times New Roman"/>
                    <a:cs typeface="Times New Roman"/>
                  </a:defRPr>
                </a:pPr>
                <a:r>
                  <a:rPr lang="tr-TR"/>
                  <a:t>Tıbbi atık miktarı (ton)</a:t>
                </a:r>
              </a:p>
            </c:rich>
          </c:tx>
          <c:overlay val="0"/>
        </c:title>
        <c:numFmt formatCode="General" sourceLinked="1"/>
        <c:majorTickMark val="out"/>
        <c:minorTickMark val="none"/>
        <c:tickLblPos val="none"/>
        <c:crossAx val="187691008"/>
        <c:crosses val="autoZero"/>
        <c:crossBetween val="between"/>
      </c:valAx>
    </c:plotArea>
    <c:legend>
      <c:legendPos val="b"/>
      <c:overlay val="0"/>
      <c:txPr>
        <a:bodyPr/>
        <a:lstStyle/>
        <a:p>
          <a:pPr>
            <a:defRPr sz="918"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Sayfa1!$B$2</c:f>
              <c:strCache>
                <c:ptCount val="1"/>
                <c:pt idx="0">
                  <c:v>Bolu</c:v>
                </c:pt>
              </c:strCache>
            </c:strRef>
          </c:tx>
          <c:invertIfNegative val="0"/>
          <c:dLbls>
            <c:txPr>
              <a:bodyPr/>
              <a:lstStyle/>
              <a:p>
                <a:pPr>
                  <a:defRPr sz="872"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dLbls>
          <c:cat>
            <c:numRef>
              <c:f>Sayfa1!$A$3:$A$5</c:f>
              <c:numCache>
                <c:formatCode>General</c:formatCode>
                <c:ptCount val="3"/>
                <c:pt idx="0">
                  <c:v>2009</c:v>
                </c:pt>
                <c:pt idx="1">
                  <c:v>2010</c:v>
                </c:pt>
                <c:pt idx="2">
                  <c:v>2011</c:v>
                </c:pt>
              </c:numCache>
            </c:numRef>
          </c:cat>
          <c:val>
            <c:numRef>
              <c:f>Sayfa1!$B$3:$B$5</c:f>
              <c:numCache>
                <c:formatCode>0.00</c:formatCode>
                <c:ptCount val="3"/>
                <c:pt idx="1">
                  <c:v>1.8</c:v>
                </c:pt>
                <c:pt idx="2">
                  <c:v>1.9500000000000057</c:v>
                </c:pt>
              </c:numCache>
            </c:numRef>
          </c:val>
        </c:ser>
        <c:ser>
          <c:idx val="2"/>
          <c:order val="1"/>
          <c:tx>
            <c:strRef>
              <c:f>Sayfa1!$C$2</c:f>
              <c:strCache>
                <c:ptCount val="1"/>
                <c:pt idx="0">
                  <c:v>Düzce</c:v>
                </c:pt>
              </c:strCache>
            </c:strRef>
          </c:tx>
          <c:invertIfNegative val="0"/>
          <c:dLbls>
            <c:txPr>
              <a:bodyPr/>
              <a:lstStyle/>
              <a:p>
                <a:pPr>
                  <a:defRPr sz="872"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dLbls>
          <c:cat>
            <c:numRef>
              <c:f>Sayfa1!$A$3:$A$5</c:f>
              <c:numCache>
                <c:formatCode>General</c:formatCode>
                <c:ptCount val="3"/>
                <c:pt idx="0">
                  <c:v>2009</c:v>
                </c:pt>
                <c:pt idx="1">
                  <c:v>2010</c:v>
                </c:pt>
                <c:pt idx="2">
                  <c:v>2011</c:v>
                </c:pt>
              </c:numCache>
            </c:numRef>
          </c:cat>
          <c:val>
            <c:numRef>
              <c:f>Sayfa1!$C$3:$C$5</c:f>
              <c:numCache>
                <c:formatCode>0.00</c:formatCode>
                <c:ptCount val="3"/>
                <c:pt idx="0">
                  <c:v>1.6900000000000057</c:v>
                </c:pt>
                <c:pt idx="1">
                  <c:v>2</c:v>
                </c:pt>
                <c:pt idx="2">
                  <c:v>2</c:v>
                </c:pt>
              </c:numCache>
            </c:numRef>
          </c:val>
        </c:ser>
        <c:ser>
          <c:idx val="3"/>
          <c:order val="2"/>
          <c:tx>
            <c:strRef>
              <c:f>Sayfa1!$D$2</c:f>
              <c:strCache>
                <c:ptCount val="1"/>
                <c:pt idx="0">
                  <c:v>Sakarya</c:v>
                </c:pt>
              </c:strCache>
            </c:strRef>
          </c:tx>
          <c:invertIfNegative val="0"/>
          <c:dLbls>
            <c:txPr>
              <a:bodyPr/>
              <a:lstStyle/>
              <a:p>
                <a:pPr>
                  <a:defRPr sz="872"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dLbls>
          <c:cat>
            <c:numRef>
              <c:f>Sayfa1!$A$3:$A$5</c:f>
              <c:numCache>
                <c:formatCode>General</c:formatCode>
                <c:ptCount val="3"/>
                <c:pt idx="0">
                  <c:v>2009</c:v>
                </c:pt>
                <c:pt idx="1">
                  <c:v>2010</c:v>
                </c:pt>
                <c:pt idx="2">
                  <c:v>2011</c:v>
                </c:pt>
              </c:numCache>
            </c:numRef>
          </c:cat>
          <c:val>
            <c:numRef>
              <c:f>Sayfa1!$D$3:$D$5</c:f>
              <c:numCache>
                <c:formatCode>0.00</c:formatCode>
                <c:ptCount val="3"/>
                <c:pt idx="0">
                  <c:v>1.7</c:v>
                </c:pt>
                <c:pt idx="1">
                  <c:v>1.8</c:v>
                </c:pt>
                <c:pt idx="2">
                  <c:v>1.8</c:v>
                </c:pt>
              </c:numCache>
            </c:numRef>
          </c:val>
        </c:ser>
        <c:dLbls>
          <c:showLegendKey val="0"/>
          <c:showVal val="0"/>
          <c:showCatName val="0"/>
          <c:showSerName val="0"/>
          <c:showPercent val="0"/>
          <c:showBubbleSize val="0"/>
        </c:dLbls>
        <c:gapWidth val="150"/>
        <c:overlap val="-25"/>
        <c:axId val="187793792"/>
        <c:axId val="187795328"/>
      </c:barChart>
      <c:catAx>
        <c:axId val="187793792"/>
        <c:scaling>
          <c:orientation val="minMax"/>
        </c:scaling>
        <c:delete val="0"/>
        <c:axPos val="b"/>
        <c:numFmt formatCode="General" sourceLinked="1"/>
        <c:majorTickMark val="none"/>
        <c:minorTickMark val="none"/>
        <c:tickLblPos val="nextTo"/>
        <c:txPr>
          <a:bodyPr rot="0" vert="horz"/>
          <a:lstStyle/>
          <a:p>
            <a:pPr>
              <a:defRPr sz="969" b="0" i="0" u="none" strike="noStrike" baseline="0">
                <a:solidFill>
                  <a:srgbClr val="000000"/>
                </a:solidFill>
                <a:latin typeface="Times New Roman"/>
                <a:ea typeface="Times New Roman"/>
                <a:cs typeface="Times New Roman"/>
              </a:defRPr>
            </a:pPr>
            <a:endParaRPr lang="en-US"/>
          </a:p>
        </c:txPr>
        <c:crossAx val="187795328"/>
        <c:crosses val="autoZero"/>
        <c:auto val="1"/>
        <c:lblAlgn val="ctr"/>
        <c:lblOffset val="100"/>
        <c:noMultiLvlLbl val="0"/>
      </c:catAx>
      <c:valAx>
        <c:axId val="187795328"/>
        <c:scaling>
          <c:orientation val="minMax"/>
        </c:scaling>
        <c:delete val="1"/>
        <c:axPos val="l"/>
        <c:title>
          <c:tx>
            <c:rich>
              <a:bodyPr/>
              <a:lstStyle/>
              <a:p>
                <a:pPr>
                  <a:defRPr sz="969" b="1" i="0" u="none" strike="noStrike" baseline="0">
                    <a:solidFill>
                      <a:srgbClr val="000000"/>
                    </a:solidFill>
                    <a:latin typeface="Calibri"/>
                    <a:ea typeface="Calibri"/>
                    <a:cs typeface="Calibri"/>
                  </a:defRPr>
                </a:pPr>
                <a:r>
                  <a:rPr lang="tr-TR"/>
                  <a:t>Tıbbî atık bertaraf ücreti (TL/kg)</a:t>
                </a:r>
              </a:p>
            </c:rich>
          </c:tx>
          <c:overlay val="0"/>
        </c:title>
        <c:numFmt formatCode="0.00" sourceLinked="1"/>
        <c:majorTickMark val="out"/>
        <c:minorTickMark val="none"/>
        <c:tickLblPos val="none"/>
        <c:crossAx val="187793792"/>
        <c:crosses val="autoZero"/>
        <c:crossBetween val="between"/>
      </c:valAx>
    </c:plotArea>
    <c:legend>
      <c:legendPos val="b"/>
      <c:overlay val="0"/>
      <c:txPr>
        <a:bodyPr/>
        <a:lstStyle/>
        <a:p>
          <a:pPr>
            <a:defRPr sz="891"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969"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A989B7-4152-4DC2-825C-7C75F76333E5}" type="doc">
      <dgm:prSet loTypeId="urn:microsoft.com/office/officeart/2005/8/layout/orgChart1" loCatId="hierarchy" qsTypeId="urn:microsoft.com/office/officeart/2005/8/quickstyle/simple1#1" qsCatId="simple" csTypeId="urn:microsoft.com/office/officeart/2005/8/colors/accent1_2#1" csCatId="accent1" phldr="1"/>
      <dgm:spPr/>
      <dgm:t>
        <a:bodyPr/>
        <a:lstStyle/>
        <a:p>
          <a:endParaRPr lang="tr-TR"/>
        </a:p>
      </dgm:t>
    </dgm:pt>
    <dgm:pt modelId="{0FB35C6B-8540-491D-9A2C-6E4DD0A4A4E9}">
      <dgm:prSet phldrT="[Metin]" custT="1"/>
      <dgm:spPr>
        <a:xfrm>
          <a:off x="521497" y="57664"/>
          <a:ext cx="1455242" cy="8252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600" baseline="0" smtClean="0">
              <a:solidFill>
                <a:sysClr val="window" lastClr="FFFFFF"/>
              </a:solidFill>
              <a:latin typeface="Arial"/>
              <a:ea typeface="+mn-ea"/>
              <a:cs typeface="+mn-cs"/>
            </a:rPr>
            <a:t>Düzensiz Depolama alanı</a:t>
          </a:r>
        </a:p>
        <a:p>
          <a:r>
            <a:rPr lang="tr-TR" sz="600" baseline="0" smtClean="0">
              <a:solidFill>
                <a:sysClr val="window" lastClr="FFFFFF"/>
              </a:solidFill>
              <a:latin typeface="Arial"/>
              <a:ea typeface="+mn-ea"/>
              <a:cs typeface="+mn-cs"/>
            </a:rPr>
            <a:t>(Kapatılmadan Önce )</a:t>
          </a:r>
        </a:p>
        <a:p>
          <a:r>
            <a:rPr lang="tr-TR" sz="600" baseline="0" smtClean="0">
              <a:solidFill>
                <a:sysClr val="window" lastClr="FFFFFF"/>
              </a:solidFill>
              <a:latin typeface="Arial"/>
              <a:ea typeface="+mn-ea"/>
              <a:cs typeface="+mn-cs"/>
            </a:rPr>
            <a:t>(2010’a kadar)</a:t>
          </a:r>
          <a:r>
            <a:rPr lang="tr-TR" sz="600" baseline="30000" smtClean="0">
              <a:solidFill>
                <a:sysClr val="window" lastClr="FFFFFF"/>
              </a:solidFill>
              <a:latin typeface="Arial"/>
              <a:ea typeface="+mn-ea"/>
              <a:cs typeface="+mn-cs"/>
            </a:rPr>
            <a:t>*</a:t>
          </a:r>
        </a:p>
        <a:p>
          <a:endParaRPr lang="tr-TR" sz="600" baseline="0" smtClean="0">
            <a:solidFill>
              <a:sysClr val="window" lastClr="FFFFFF"/>
            </a:solidFill>
            <a:latin typeface="Arial"/>
            <a:ea typeface="+mn-ea"/>
            <a:cs typeface="+mn-cs"/>
          </a:endParaRPr>
        </a:p>
        <a:p>
          <a:r>
            <a:rPr lang="tr-TR" sz="600" baseline="0" smtClean="0">
              <a:solidFill>
                <a:sysClr val="window" lastClr="FFFFFF"/>
              </a:solidFill>
              <a:latin typeface="Arial"/>
              <a:ea typeface="+mn-ea"/>
              <a:cs typeface="+mn-cs"/>
            </a:rPr>
            <a:t>Oluşan Sızıntı Suyu</a:t>
          </a:r>
        </a:p>
        <a:p>
          <a:r>
            <a:rPr lang="tr-TR" sz="600" baseline="0" smtClean="0">
              <a:solidFill>
                <a:sysClr val="window" lastClr="FFFFFF"/>
              </a:solidFill>
              <a:latin typeface="Arial"/>
              <a:ea typeface="+mn-ea"/>
              <a:cs typeface="+mn-cs"/>
            </a:rPr>
            <a:t>(%100)</a:t>
          </a:r>
          <a:endParaRPr lang="tr-TR" sz="600">
            <a:solidFill>
              <a:sysClr val="window" lastClr="FFFFFF"/>
            </a:solidFill>
            <a:latin typeface="Calibri"/>
            <a:ea typeface="+mn-ea"/>
            <a:cs typeface="+mn-cs"/>
          </a:endParaRPr>
        </a:p>
      </dgm:t>
    </dgm:pt>
    <dgm:pt modelId="{38410372-B349-44DD-A811-4F8C65D06309}" type="parTrans" cxnId="{02F391DA-66C4-4567-B2C4-2556AEBF5EE7}">
      <dgm:prSet/>
      <dgm:spPr/>
      <dgm:t>
        <a:bodyPr/>
        <a:lstStyle/>
        <a:p>
          <a:endParaRPr lang="tr-TR" sz="600"/>
        </a:p>
      </dgm:t>
    </dgm:pt>
    <dgm:pt modelId="{D313B6F6-347D-4331-AA4F-561881C70754}" type="sibTrans" cxnId="{02F391DA-66C4-4567-B2C4-2556AEBF5EE7}">
      <dgm:prSet/>
      <dgm:spPr/>
      <dgm:t>
        <a:bodyPr/>
        <a:lstStyle/>
        <a:p>
          <a:endParaRPr lang="tr-TR" sz="600"/>
        </a:p>
      </dgm:t>
    </dgm:pt>
    <dgm:pt modelId="{DA476145-8CAB-4797-B92B-309E0EE9BA24}" type="asst">
      <dgm:prSet phldrT="[Metin]" custT="1"/>
      <dgm:spPr>
        <a:xfrm>
          <a:off x="146801" y="1181300"/>
          <a:ext cx="969829" cy="5640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600" baseline="0" smtClean="0">
              <a:solidFill>
                <a:sysClr val="window" lastClr="FFFFFF"/>
              </a:solidFill>
              <a:latin typeface="Arial"/>
              <a:ea typeface="+mn-ea"/>
              <a:cs typeface="+mn-cs"/>
            </a:rPr>
            <a:t>Noktasal (toplanan) Sızıntı Suyu</a:t>
          </a:r>
        </a:p>
        <a:p>
          <a:pPr rtl="0"/>
          <a:r>
            <a:rPr lang="tr-TR" sz="600" baseline="0" smtClean="0">
              <a:solidFill>
                <a:sysClr val="window" lastClr="FFFFFF"/>
              </a:solidFill>
              <a:latin typeface="Arial"/>
              <a:ea typeface="+mn-ea"/>
              <a:cs typeface="+mn-cs"/>
            </a:rPr>
            <a:t>(%0)</a:t>
          </a:r>
          <a:endParaRPr lang="tr-TR" sz="600">
            <a:solidFill>
              <a:sysClr val="window" lastClr="FFFFFF"/>
            </a:solidFill>
            <a:latin typeface="Calibri"/>
            <a:ea typeface="+mn-ea"/>
            <a:cs typeface="+mn-cs"/>
          </a:endParaRPr>
        </a:p>
      </dgm:t>
    </dgm:pt>
    <dgm:pt modelId="{0785AA2D-8D5F-4F56-B135-1EA2FD023DC3}" type="parTrans" cxnId="{B3198501-14E0-476E-8F4D-838C08BAC629}">
      <dgm:prSet/>
      <dgm:spPr>
        <a:xfrm>
          <a:off x="1116630" y="882879"/>
          <a:ext cx="132488" cy="580426"/>
        </a:xfrm>
        <a:noFill/>
        <a:ln w="25400" cap="flat" cmpd="sng" algn="ctr">
          <a:solidFill>
            <a:srgbClr val="4F81BD">
              <a:shade val="60000"/>
              <a:hueOff val="0"/>
              <a:satOff val="0"/>
              <a:lumOff val="0"/>
              <a:alphaOff val="0"/>
            </a:srgbClr>
          </a:solidFill>
          <a:prstDash val="solid"/>
        </a:ln>
        <a:effectLst/>
      </dgm:spPr>
      <dgm:t>
        <a:bodyPr/>
        <a:lstStyle/>
        <a:p>
          <a:endParaRPr lang="tr-TR" sz="600"/>
        </a:p>
      </dgm:t>
    </dgm:pt>
    <dgm:pt modelId="{753A5414-DDA5-4924-AE13-A8462E229EE7}" type="sibTrans" cxnId="{B3198501-14E0-476E-8F4D-838C08BAC629}">
      <dgm:prSet/>
      <dgm:spPr/>
      <dgm:t>
        <a:bodyPr/>
        <a:lstStyle/>
        <a:p>
          <a:endParaRPr lang="tr-TR" sz="600"/>
        </a:p>
      </dgm:t>
    </dgm:pt>
    <dgm:pt modelId="{877A7026-225C-42CF-8244-38BBD63ABD5F}" type="asst">
      <dgm:prSet custT="1"/>
      <dgm:spPr>
        <a:xfrm>
          <a:off x="1541060" y="1170626"/>
          <a:ext cx="942889" cy="5853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tr-TR" sz="600" baseline="0" smtClean="0">
              <a:solidFill>
                <a:sysClr val="window" lastClr="FFFFFF"/>
              </a:solidFill>
              <a:latin typeface="Arial"/>
              <a:ea typeface="+mn-ea"/>
              <a:cs typeface="+mn-cs"/>
            </a:rPr>
            <a:t>Yayılı Kaynak</a:t>
          </a:r>
        </a:p>
        <a:p>
          <a:pPr rtl="0"/>
          <a:r>
            <a:rPr lang="tr-TR" sz="600" baseline="0" smtClean="0">
              <a:solidFill>
                <a:sysClr val="window" lastClr="FFFFFF"/>
              </a:solidFill>
              <a:latin typeface="Arial"/>
              <a:ea typeface="+mn-ea"/>
              <a:cs typeface="+mn-cs"/>
            </a:rPr>
            <a:t>(%100)</a:t>
          </a:r>
          <a:endParaRPr lang="tr-TR" sz="600">
            <a:solidFill>
              <a:sysClr val="window" lastClr="FFFFFF"/>
            </a:solidFill>
            <a:latin typeface="Calibri"/>
            <a:ea typeface="+mn-ea"/>
            <a:cs typeface="+mn-cs"/>
          </a:endParaRPr>
        </a:p>
      </dgm:t>
    </dgm:pt>
    <dgm:pt modelId="{BF490DE1-27E6-44F8-9B04-E87BA000A5DC}" type="parTrans" cxnId="{BB9D495B-D10C-4C32-B816-A0F60F35D4E6}">
      <dgm:prSet/>
      <dgm:spPr>
        <a:xfrm>
          <a:off x="1249118" y="882879"/>
          <a:ext cx="291941" cy="580426"/>
        </a:xfrm>
        <a:noFill/>
        <a:ln w="25400" cap="flat" cmpd="sng" algn="ctr">
          <a:solidFill>
            <a:srgbClr val="4F81BD">
              <a:shade val="60000"/>
              <a:hueOff val="0"/>
              <a:satOff val="0"/>
              <a:lumOff val="0"/>
              <a:alphaOff val="0"/>
            </a:srgbClr>
          </a:solidFill>
          <a:prstDash val="solid"/>
        </a:ln>
        <a:effectLst/>
      </dgm:spPr>
      <dgm:t>
        <a:bodyPr/>
        <a:lstStyle/>
        <a:p>
          <a:endParaRPr lang="tr-TR" sz="600"/>
        </a:p>
      </dgm:t>
    </dgm:pt>
    <dgm:pt modelId="{46059B3D-E2A3-4216-A2C8-0D6A0F5282BF}" type="sibTrans" cxnId="{BB9D495B-D10C-4C32-B816-A0F60F35D4E6}">
      <dgm:prSet/>
      <dgm:spPr/>
      <dgm:t>
        <a:bodyPr/>
        <a:lstStyle/>
        <a:p>
          <a:endParaRPr lang="tr-TR" sz="600"/>
        </a:p>
      </dgm:t>
    </dgm:pt>
    <dgm:pt modelId="{DF810076-6C32-4B27-93C9-558012EFEAFB}" type="pres">
      <dgm:prSet presAssocID="{5FA989B7-4152-4DC2-825C-7C75F76333E5}" presName="hierChild1" presStyleCnt="0">
        <dgm:presLayoutVars>
          <dgm:orgChart val="1"/>
          <dgm:chPref val="1"/>
          <dgm:dir/>
          <dgm:animOne val="branch"/>
          <dgm:animLvl val="lvl"/>
          <dgm:resizeHandles/>
        </dgm:presLayoutVars>
      </dgm:prSet>
      <dgm:spPr/>
      <dgm:t>
        <a:bodyPr/>
        <a:lstStyle/>
        <a:p>
          <a:endParaRPr lang="tr-TR"/>
        </a:p>
      </dgm:t>
    </dgm:pt>
    <dgm:pt modelId="{1FFAE1A8-99C5-476C-97BD-401DC2F7B6AC}" type="pres">
      <dgm:prSet presAssocID="{0FB35C6B-8540-491D-9A2C-6E4DD0A4A4E9}" presName="hierRoot1" presStyleCnt="0">
        <dgm:presLayoutVars>
          <dgm:hierBranch val="init"/>
        </dgm:presLayoutVars>
      </dgm:prSet>
      <dgm:spPr/>
    </dgm:pt>
    <dgm:pt modelId="{25E7A632-8AF9-4A4D-8E59-8E255F4B5B53}" type="pres">
      <dgm:prSet presAssocID="{0FB35C6B-8540-491D-9A2C-6E4DD0A4A4E9}" presName="rootComposite1" presStyleCnt="0"/>
      <dgm:spPr/>
    </dgm:pt>
    <dgm:pt modelId="{BB510EF6-5EF2-4498-B0A5-5EC5D3BE3B70}" type="pres">
      <dgm:prSet presAssocID="{0FB35C6B-8540-491D-9A2C-6E4DD0A4A4E9}" presName="rootText1" presStyleLbl="node0" presStyleIdx="0" presStyleCnt="1" custScaleX="115331" custScaleY="155861">
        <dgm:presLayoutVars>
          <dgm:chPref val="3"/>
        </dgm:presLayoutVars>
      </dgm:prSet>
      <dgm:spPr>
        <a:prstGeom prst="rect">
          <a:avLst/>
        </a:prstGeom>
      </dgm:spPr>
      <dgm:t>
        <a:bodyPr/>
        <a:lstStyle/>
        <a:p>
          <a:endParaRPr lang="tr-TR"/>
        </a:p>
      </dgm:t>
    </dgm:pt>
    <dgm:pt modelId="{3FF748E3-24D9-449E-8AF8-5F40DCFE77F5}" type="pres">
      <dgm:prSet presAssocID="{0FB35C6B-8540-491D-9A2C-6E4DD0A4A4E9}" presName="rootConnector1" presStyleLbl="node1" presStyleIdx="0" presStyleCnt="0"/>
      <dgm:spPr/>
      <dgm:t>
        <a:bodyPr/>
        <a:lstStyle/>
        <a:p>
          <a:endParaRPr lang="tr-TR"/>
        </a:p>
      </dgm:t>
    </dgm:pt>
    <dgm:pt modelId="{51444113-FAF6-4EAC-9736-6913633DE33B}" type="pres">
      <dgm:prSet presAssocID="{0FB35C6B-8540-491D-9A2C-6E4DD0A4A4E9}" presName="hierChild2" presStyleCnt="0"/>
      <dgm:spPr/>
    </dgm:pt>
    <dgm:pt modelId="{5931C09C-6D63-4EA9-98E7-6E693CFDDDD7}" type="pres">
      <dgm:prSet presAssocID="{0FB35C6B-8540-491D-9A2C-6E4DD0A4A4E9}" presName="hierChild3" presStyleCnt="0"/>
      <dgm:spPr/>
    </dgm:pt>
    <dgm:pt modelId="{6083038D-E50F-4675-B03E-F897BD2A0A15}" type="pres">
      <dgm:prSet presAssocID="{0785AA2D-8D5F-4F56-B135-1EA2FD023DC3}" presName="Name111" presStyleLbl="parChTrans1D2" presStyleIdx="0" presStyleCnt="2"/>
      <dgm:spPr>
        <a:custGeom>
          <a:avLst/>
          <a:gdLst/>
          <a:ahLst/>
          <a:cxnLst/>
          <a:rect l="0" t="0" r="0" b="0"/>
          <a:pathLst>
            <a:path>
              <a:moveTo>
                <a:pt x="132488" y="0"/>
              </a:moveTo>
              <a:lnTo>
                <a:pt x="132488" y="580426"/>
              </a:lnTo>
              <a:lnTo>
                <a:pt x="0" y="580426"/>
              </a:lnTo>
            </a:path>
          </a:pathLst>
        </a:custGeom>
      </dgm:spPr>
      <dgm:t>
        <a:bodyPr/>
        <a:lstStyle/>
        <a:p>
          <a:endParaRPr lang="tr-TR"/>
        </a:p>
      </dgm:t>
    </dgm:pt>
    <dgm:pt modelId="{1A3A067E-07D8-4E4F-94BA-425D40154DC8}" type="pres">
      <dgm:prSet presAssocID="{DA476145-8CAB-4797-B92B-309E0EE9BA24}" presName="hierRoot3" presStyleCnt="0">
        <dgm:presLayoutVars>
          <dgm:hierBranch val="init"/>
        </dgm:presLayoutVars>
      </dgm:prSet>
      <dgm:spPr/>
    </dgm:pt>
    <dgm:pt modelId="{429C289A-E31E-45E0-BEA6-08F4175824BC}" type="pres">
      <dgm:prSet presAssocID="{DA476145-8CAB-4797-B92B-309E0EE9BA24}" presName="rootComposite3" presStyleCnt="0"/>
      <dgm:spPr/>
    </dgm:pt>
    <dgm:pt modelId="{87A72D79-117D-40CB-B84C-4428FEC16AD0}" type="pres">
      <dgm:prSet presAssocID="{DA476145-8CAB-4797-B92B-309E0EE9BA24}" presName="rootText3" presStyleLbl="asst1" presStyleIdx="0" presStyleCnt="2" custScaleX="76861" custScaleY="89398" custLinFactNeighborX="-7739" custLinFactNeighborY="5832">
        <dgm:presLayoutVars>
          <dgm:chPref val="3"/>
        </dgm:presLayoutVars>
      </dgm:prSet>
      <dgm:spPr>
        <a:prstGeom prst="rect">
          <a:avLst/>
        </a:prstGeom>
      </dgm:spPr>
      <dgm:t>
        <a:bodyPr/>
        <a:lstStyle/>
        <a:p>
          <a:endParaRPr lang="tr-TR"/>
        </a:p>
      </dgm:t>
    </dgm:pt>
    <dgm:pt modelId="{89799D56-CE9F-4277-AA7F-8C156421FF5D}" type="pres">
      <dgm:prSet presAssocID="{DA476145-8CAB-4797-B92B-309E0EE9BA24}" presName="rootConnector3" presStyleLbl="asst1" presStyleIdx="0" presStyleCnt="2"/>
      <dgm:spPr/>
      <dgm:t>
        <a:bodyPr/>
        <a:lstStyle/>
        <a:p>
          <a:endParaRPr lang="tr-TR"/>
        </a:p>
      </dgm:t>
    </dgm:pt>
    <dgm:pt modelId="{0BF8B86B-7905-481F-A13A-B4D8875FDC98}" type="pres">
      <dgm:prSet presAssocID="{DA476145-8CAB-4797-B92B-309E0EE9BA24}" presName="hierChild6" presStyleCnt="0"/>
      <dgm:spPr/>
    </dgm:pt>
    <dgm:pt modelId="{F304D03C-6A5D-41DD-9CDB-A2C9DEA59AE1}" type="pres">
      <dgm:prSet presAssocID="{DA476145-8CAB-4797-B92B-309E0EE9BA24}" presName="hierChild7" presStyleCnt="0"/>
      <dgm:spPr/>
    </dgm:pt>
    <dgm:pt modelId="{872D25D9-93E5-486E-AA45-4CE52D4D9410}" type="pres">
      <dgm:prSet presAssocID="{BF490DE1-27E6-44F8-9B04-E87BA000A5DC}" presName="Name111" presStyleLbl="parChTrans1D2" presStyleIdx="1" presStyleCnt="2"/>
      <dgm:spPr>
        <a:custGeom>
          <a:avLst/>
          <a:gdLst/>
          <a:ahLst/>
          <a:cxnLst/>
          <a:rect l="0" t="0" r="0" b="0"/>
          <a:pathLst>
            <a:path>
              <a:moveTo>
                <a:pt x="0" y="0"/>
              </a:moveTo>
              <a:lnTo>
                <a:pt x="0" y="580426"/>
              </a:lnTo>
              <a:lnTo>
                <a:pt x="291941" y="580426"/>
              </a:lnTo>
            </a:path>
          </a:pathLst>
        </a:custGeom>
      </dgm:spPr>
      <dgm:t>
        <a:bodyPr/>
        <a:lstStyle/>
        <a:p>
          <a:endParaRPr lang="tr-TR"/>
        </a:p>
      </dgm:t>
    </dgm:pt>
    <dgm:pt modelId="{05BA131A-3021-4458-869A-50CE660EAE79}" type="pres">
      <dgm:prSet presAssocID="{877A7026-225C-42CF-8244-38BBD63ABD5F}" presName="hierRoot3" presStyleCnt="0">
        <dgm:presLayoutVars>
          <dgm:hierBranch val="init"/>
        </dgm:presLayoutVars>
      </dgm:prSet>
      <dgm:spPr/>
    </dgm:pt>
    <dgm:pt modelId="{8E9F393D-60FA-4AB8-A1C1-57A35151A49C}" type="pres">
      <dgm:prSet presAssocID="{877A7026-225C-42CF-8244-38BBD63ABD5F}" presName="rootComposite3" presStyleCnt="0"/>
      <dgm:spPr/>
    </dgm:pt>
    <dgm:pt modelId="{E8FB6489-229A-405F-B0C0-3A92305392BD}" type="pres">
      <dgm:prSet presAssocID="{877A7026-225C-42CF-8244-38BBD63ABD5F}" presName="rootText3" presStyleLbl="asst1" presStyleIdx="1" presStyleCnt="2" custScaleX="74726" custScaleY="92782">
        <dgm:presLayoutVars>
          <dgm:chPref val="3"/>
        </dgm:presLayoutVars>
      </dgm:prSet>
      <dgm:spPr>
        <a:prstGeom prst="rect">
          <a:avLst/>
        </a:prstGeom>
      </dgm:spPr>
      <dgm:t>
        <a:bodyPr/>
        <a:lstStyle/>
        <a:p>
          <a:endParaRPr lang="tr-TR"/>
        </a:p>
      </dgm:t>
    </dgm:pt>
    <dgm:pt modelId="{28FC262F-25D1-441A-BD4B-446F174C9CDB}" type="pres">
      <dgm:prSet presAssocID="{877A7026-225C-42CF-8244-38BBD63ABD5F}" presName="rootConnector3" presStyleLbl="asst1" presStyleIdx="1" presStyleCnt="2"/>
      <dgm:spPr/>
      <dgm:t>
        <a:bodyPr/>
        <a:lstStyle/>
        <a:p>
          <a:endParaRPr lang="tr-TR"/>
        </a:p>
      </dgm:t>
    </dgm:pt>
    <dgm:pt modelId="{3AC4DE0B-D9D9-4596-9C4D-12B9C410E2A4}" type="pres">
      <dgm:prSet presAssocID="{877A7026-225C-42CF-8244-38BBD63ABD5F}" presName="hierChild6" presStyleCnt="0"/>
      <dgm:spPr/>
    </dgm:pt>
    <dgm:pt modelId="{551B2737-E69F-404C-AB15-5EBFCFE8DCB9}" type="pres">
      <dgm:prSet presAssocID="{877A7026-225C-42CF-8244-38BBD63ABD5F}" presName="hierChild7" presStyleCnt="0"/>
      <dgm:spPr/>
    </dgm:pt>
  </dgm:ptLst>
  <dgm:cxnLst>
    <dgm:cxn modelId="{03DBBBE8-22B9-4F43-B2D7-1BC2483ED10E}" type="presOf" srcId="{877A7026-225C-42CF-8244-38BBD63ABD5F}" destId="{28FC262F-25D1-441A-BD4B-446F174C9CDB}" srcOrd="1" destOrd="0" presId="urn:microsoft.com/office/officeart/2005/8/layout/orgChart1"/>
    <dgm:cxn modelId="{2E3DE6F6-F519-44D0-B20B-EB19B6466198}" type="presOf" srcId="{5FA989B7-4152-4DC2-825C-7C75F76333E5}" destId="{DF810076-6C32-4B27-93C9-558012EFEAFB}" srcOrd="0" destOrd="0" presId="urn:microsoft.com/office/officeart/2005/8/layout/orgChart1"/>
    <dgm:cxn modelId="{BB9D495B-D10C-4C32-B816-A0F60F35D4E6}" srcId="{0FB35C6B-8540-491D-9A2C-6E4DD0A4A4E9}" destId="{877A7026-225C-42CF-8244-38BBD63ABD5F}" srcOrd="1" destOrd="0" parTransId="{BF490DE1-27E6-44F8-9B04-E87BA000A5DC}" sibTransId="{46059B3D-E2A3-4216-A2C8-0D6A0F5282BF}"/>
    <dgm:cxn modelId="{02F391DA-66C4-4567-B2C4-2556AEBF5EE7}" srcId="{5FA989B7-4152-4DC2-825C-7C75F76333E5}" destId="{0FB35C6B-8540-491D-9A2C-6E4DD0A4A4E9}" srcOrd="0" destOrd="0" parTransId="{38410372-B349-44DD-A811-4F8C65D06309}" sibTransId="{D313B6F6-347D-4331-AA4F-561881C70754}"/>
    <dgm:cxn modelId="{B3198501-14E0-476E-8F4D-838C08BAC629}" srcId="{0FB35C6B-8540-491D-9A2C-6E4DD0A4A4E9}" destId="{DA476145-8CAB-4797-B92B-309E0EE9BA24}" srcOrd="0" destOrd="0" parTransId="{0785AA2D-8D5F-4F56-B135-1EA2FD023DC3}" sibTransId="{753A5414-DDA5-4924-AE13-A8462E229EE7}"/>
    <dgm:cxn modelId="{866F197A-713A-4EF6-928C-F8D255DD25CA}" type="presOf" srcId="{BF490DE1-27E6-44F8-9B04-E87BA000A5DC}" destId="{872D25D9-93E5-486E-AA45-4CE52D4D9410}" srcOrd="0" destOrd="0" presId="urn:microsoft.com/office/officeart/2005/8/layout/orgChart1"/>
    <dgm:cxn modelId="{3C0067E7-2C16-4797-8862-7340B0DC4C20}" type="presOf" srcId="{877A7026-225C-42CF-8244-38BBD63ABD5F}" destId="{E8FB6489-229A-405F-B0C0-3A92305392BD}" srcOrd="0" destOrd="0" presId="urn:microsoft.com/office/officeart/2005/8/layout/orgChart1"/>
    <dgm:cxn modelId="{237B2ED1-2F1B-48D0-9573-00814A5F631C}" type="presOf" srcId="{0FB35C6B-8540-491D-9A2C-6E4DD0A4A4E9}" destId="{BB510EF6-5EF2-4498-B0A5-5EC5D3BE3B70}" srcOrd="0" destOrd="0" presId="urn:microsoft.com/office/officeart/2005/8/layout/orgChart1"/>
    <dgm:cxn modelId="{2813CAA9-76AA-40F7-A79C-83E07DD04A43}" type="presOf" srcId="{DA476145-8CAB-4797-B92B-309E0EE9BA24}" destId="{89799D56-CE9F-4277-AA7F-8C156421FF5D}" srcOrd="1" destOrd="0" presId="urn:microsoft.com/office/officeart/2005/8/layout/orgChart1"/>
    <dgm:cxn modelId="{7B75B5BA-B959-4523-8A0D-977527F9CEF1}" type="presOf" srcId="{0FB35C6B-8540-491D-9A2C-6E4DD0A4A4E9}" destId="{3FF748E3-24D9-449E-8AF8-5F40DCFE77F5}" srcOrd="1" destOrd="0" presId="urn:microsoft.com/office/officeart/2005/8/layout/orgChart1"/>
    <dgm:cxn modelId="{2081B762-D04E-4224-8D18-4211765BC882}" type="presOf" srcId="{DA476145-8CAB-4797-B92B-309E0EE9BA24}" destId="{87A72D79-117D-40CB-B84C-4428FEC16AD0}" srcOrd="0" destOrd="0" presId="urn:microsoft.com/office/officeart/2005/8/layout/orgChart1"/>
    <dgm:cxn modelId="{8044B619-E8C0-4152-A1C5-E5633EB38AE6}" type="presOf" srcId="{0785AA2D-8D5F-4F56-B135-1EA2FD023DC3}" destId="{6083038D-E50F-4675-B03E-F897BD2A0A15}" srcOrd="0" destOrd="0" presId="urn:microsoft.com/office/officeart/2005/8/layout/orgChart1"/>
    <dgm:cxn modelId="{0B270643-A0E3-4E7A-A139-F2F74E7CF192}" type="presParOf" srcId="{DF810076-6C32-4B27-93C9-558012EFEAFB}" destId="{1FFAE1A8-99C5-476C-97BD-401DC2F7B6AC}" srcOrd="0" destOrd="0" presId="urn:microsoft.com/office/officeart/2005/8/layout/orgChart1"/>
    <dgm:cxn modelId="{3E8BF379-3831-40E3-B142-0B5648DBF8F3}" type="presParOf" srcId="{1FFAE1A8-99C5-476C-97BD-401DC2F7B6AC}" destId="{25E7A632-8AF9-4A4D-8E59-8E255F4B5B53}" srcOrd="0" destOrd="0" presId="urn:microsoft.com/office/officeart/2005/8/layout/orgChart1"/>
    <dgm:cxn modelId="{D08A996F-A7C9-4574-8BA0-CB86BC24DA7C}" type="presParOf" srcId="{25E7A632-8AF9-4A4D-8E59-8E255F4B5B53}" destId="{BB510EF6-5EF2-4498-B0A5-5EC5D3BE3B70}" srcOrd="0" destOrd="0" presId="urn:microsoft.com/office/officeart/2005/8/layout/orgChart1"/>
    <dgm:cxn modelId="{8BF2AC2C-18EC-4B39-A21F-797A9ABDB0DF}" type="presParOf" srcId="{25E7A632-8AF9-4A4D-8E59-8E255F4B5B53}" destId="{3FF748E3-24D9-449E-8AF8-5F40DCFE77F5}" srcOrd="1" destOrd="0" presId="urn:microsoft.com/office/officeart/2005/8/layout/orgChart1"/>
    <dgm:cxn modelId="{995B93E0-A076-4125-BC04-CB1D42DD4856}" type="presParOf" srcId="{1FFAE1A8-99C5-476C-97BD-401DC2F7B6AC}" destId="{51444113-FAF6-4EAC-9736-6913633DE33B}" srcOrd="1" destOrd="0" presId="urn:microsoft.com/office/officeart/2005/8/layout/orgChart1"/>
    <dgm:cxn modelId="{73CB53DC-1D1C-4DA2-BA39-C727B3F2B5E5}" type="presParOf" srcId="{1FFAE1A8-99C5-476C-97BD-401DC2F7B6AC}" destId="{5931C09C-6D63-4EA9-98E7-6E693CFDDDD7}" srcOrd="2" destOrd="0" presId="urn:microsoft.com/office/officeart/2005/8/layout/orgChart1"/>
    <dgm:cxn modelId="{3077C9F9-08C0-4C90-AE3F-B2582EC5C062}" type="presParOf" srcId="{5931C09C-6D63-4EA9-98E7-6E693CFDDDD7}" destId="{6083038D-E50F-4675-B03E-F897BD2A0A15}" srcOrd="0" destOrd="0" presId="urn:microsoft.com/office/officeart/2005/8/layout/orgChart1"/>
    <dgm:cxn modelId="{735B3630-20E9-4CF6-BB2C-D1552ED59614}" type="presParOf" srcId="{5931C09C-6D63-4EA9-98E7-6E693CFDDDD7}" destId="{1A3A067E-07D8-4E4F-94BA-425D40154DC8}" srcOrd="1" destOrd="0" presId="urn:microsoft.com/office/officeart/2005/8/layout/orgChart1"/>
    <dgm:cxn modelId="{4D456944-CB47-4B8A-816E-797B470BAD6C}" type="presParOf" srcId="{1A3A067E-07D8-4E4F-94BA-425D40154DC8}" destId="{429C289A-E31E-45E0-BEA6-08F4175824BC}" srcOrd="0" destOrd="0" presId="urn:microsoft.com/office/officeart/2005/8/layout/orgChart1"/>
    <dgm:cxn modelId="{C95FFDBF-CB1F-4288-9103-D247B4B1AD15}" type="presParOf" srcId="{429C289A-E31E-45E0-BEA6-08F4175824BC}" destId="{87A72D79-117D-40CB-B84C-4428FEC16AD0}" srcOrd="0" destOrd="0" presId="urn:microsoft.com/office/officeart/2005/8/layout/orgChart1"/>
    <dgm:cxn modelId="{4BC90532-B8CF-4BC3-975F-AC6C1A125005}" type="presParOf" srcId="{429C289A-E31E-45E0-BEA6-08F4175824BC}" destId="{89799D56-CE9F-4277-AA7F-8C156421FF5D}" srcOrd="1" destOrd="0" presId="urn:microsoft.com/office/officeart/2005/8/layout/orgChart1"/>
    <dgm:cxn modelId="{8922FEAA-2BC5-4E27-A7BE-5A088382F809}" type="presParOf" srcId="{1A3A067E-07D8-4E4F-94BA-425D40154DC8}" destId="{0BF8B86B-7905-481F-A13A-B4D8875FDC98}" srcOrd="1" destOrd="0" presId="urn:microsoft.com/office/officeart/2005/8/layout/orgChart1"/>
    <dgm:cxn modelId="{D197BC38-F463-4EBA-90EF-D4F7D1D3B8C5}" type="presParOf" srcId="{1A3A067E-07D8-4E4F-94BA-425D40154DC8}" destId="{F304D03C-6A5D-41DD-9CDB-A2C9DEA59AE1}" srcOrd="2" destOrd="0" presId="urn:microsoft.com/office/officeart/2005/8/layout/orgChart1"/>
    <dgm:cxn modelId="{58E83A62-6773-4042-965A-EDA085BEB476}" type="presParOf" srcId="{5931C09C-6D63-4EA9-98E7-6E693CFDDDD7}" destId="{872D25D9-93E5-486E-AA45-4CE52D4D9410}" srcOrd="2" destOrd="0" presId="urn:microsoft.com/office/officeart/2005/8/layout/orgChart1"/>
    <dgm:cxn modelId="{7FC5E215-1769-4244-93AD-4E8112BEFFE7}" type="presParOf" srcId="{5931C09C-6D63-4EA9-98E7-6E693CFDDDD7}" destId="{05BA131A-3021-4458-869A-50CE660EAE79}" srcOrd="3" destOrd="0" presId="urn:microsoft.com/office/officeart/2005/8/layout/orgChart1"/>
    <dgm:cxn modelId="{6D14AC35-60CB-4B68-8925-F8C0302657B1}" type="presParOf" srcId="{05BA131A-3021-4458-869A-50CE660EAE79}" destId="{8E9F393D-60FA-4AB8-A1C1-57A35151A49C}" srcOrd="0" destOrd="0" presId="urn:microsoft.com/office/officeart/2005/8/layout/orgChart1"/>
    <dgm:cxn modelId="{C2D618FD-20C0-47C7-A0D6-350D87A89CDA}" type="presParOf" srcId="{8E9F393D-60FA-4AB8-A1C1-57A35151A49C}" destId="{E8FB6489-229A-405F-B0C0-3A92305392BD}" srcOrd="0" destOrd="0" presId="urn:microsoft.com/office/officeart/2005/8/layout/orgChart1"/>
    <dgm:cxn modelId="{7420DFB1-416F-4D25-9BC7-9DA2684745AA}" type="presParOf" srcId="{8E9F393D-60FA-4AB8-A1C1-57A35151A49C}" destId="{28FC262F-25D1-441A-BD4B-446F174C9CDB}" srcOrd="1" destOrd="0" presId="urn:microsoft.com/office/officeart/2005/8/layout/orgChart1"/>
    <dgm:cxn modelId="{40636BB3-DD84-45BA-AD6D-8FF8AFD3DE5F}" type="presParOf" srcId="{05BA131A-3021-4458-869A-50CE660EAE79}" destId="{3AC4DE0B-D9D9-4596-9C4D-12B9C410E2A4}" srcOrd="1" destOrd="0" presId="urn:microsoft.com/office/officeart/2005/8/layout/orgChart1"/>
    <dgm:cxn modelId="{43C75D56-AFBB-49B9-AC54-A848FE351141}" type="presParOf" srcId="{05BA131A-3021-4458-869A-50CE660EAE79}" destId="{551B2737-E69F-404C-AB15-5EBFCFE8DCB9}"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A989B7-4152-4DC2-825C-7C75F76333E5}" type="doc">
      <dgm:prSet loTypeId="urn:microsoft.com/office/officeart/2005/8/layout/orgChart1" loCatId="hierarchy" qsTypeId="urn:microsoft.com/office/officeart/2005/8/quickstyle/simple1#2" qsCatId="simple" csTypeId="urn:microsoft.com/office/officeart/2005/8/colors/accent1_2#2" csCatId="accent1" phldr="1"/>
      <dgm:spPr/>
      <dgm:t>
        <a:bodyPr/>
        <a:lstStyle/>
        <a:p>
          <a:endParaRPr lang="tr-TR"/>
        </a:p>
      </dgm:t>
    </dgm:pt>
    <dgm:pt modelId="{0FB35C6B-8540-491D-9A2C-6E4DD0A4A4E9}">
      <dgm:prSet phldrT="[Metin]" custT="1"/>
      <dgm:spPr>
        <a:xfrm>
          <a:off x="521497" y="57664"/>
          <a:ext cx="1455242" cy="8252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600" baseline="0" smtClean="0">
              <a:solidFill>
                <a:sysClr val="window" lastClr="FFFFFF"/>
              </a:solidFill>
              <a:latin typeface="Arial"/>
              <a:ea typeface="+mn-ea"/>
              <a:cs typeface="+mn-cs"/>
            </a:rPr>
            <a:t>Rehabilite Edilmiş</a:t>
          </a:r>
        </a:p>
        <a:p>
          <a:r>
            <a:rPr lang="tr-TR" sz="600" baseline="0" smtClean="0">
              <a:solidFill>
                <a:sysClr val="window" lastClr="FFFFFF"/>
              </a:solidFill>
              <a:latin typeface="Arial"/>
              <a:ea typeface="+mn-ea"/>
              <a:cs typeface="+mn-cs"/>
            </a:rPr>
            <a:t>(Kapatıldıktan Sonra) </a:t>
          </a:r>
        </a:p>
        <a:p>
          <a:pPr rtl="0"/>
          <a:r>
            <a:rPr lang="tr-TR" sz="600" baseline="0" smtClean="0">
              <a:solidFill>
                <a:sysClr val="window" lastClr="FFFFFF"/>
              </a:solidFill>
              <a:latin typeface="Arial"/>
              <a:ea typeface="+mn-ea"/>
              <a:cs typeface="+mn-cs"/>
            </a:rPr>
            <a:t>(2010</a:t>
          </a:r>
          <a:r>
            <a:rPr lang="tr-TR" sz="600" baseline="30000" smtClean="0">
              <a:solidFill>
                <a:sysClr val="window" lastClr="FFFFFF"/>
              </a:solidFill>
              <a:latin typeface="Arial"/>
              <a:ea typeface="+mn-ea"/>
              <a:cs typeface="+mn-cs"/>
            </a:rPr>
            <a:t>*</a:t>
          </a:r>
          <a:r>
            <a:rPr lang="tr-TR" sz="600" baseline="0" smtClean="0">
              <a:solidFill>
                <a:sysClr val="window" lastClr="FFFFFF"/>
              </a:solidFill>
              <a:latin typeface="Arial"/>
              <a:ea typeface="+mn-ea"/>
              <a:cs typeface="+mn-cs"/>
            </a:rPr>
            <a:t>-2040)</a:t>
          </a:r>
        </a:p>
        <a:p>
          <a:pPr rtl="0"/>
          <a:endParaRPr lang="tr-TR" sz="600" baseline="0" smtClean="0">
            <a:solidFill>
              <a:sysClr val="window" lastClr="FFFFFF"/>
            </a:solidFill>
            <a:latin typeface="Arial"/>
            <a:ea typeface="+mn-ea"/>
            <a:cs typeface="+mn-cs"/>
          </a:endParaRPr>
        </a:p>
        <a:p>
          <a:pPr rtl="0"/>
          <a:r>
            <a:rPr lang="tr-TR" sz="600" baseline="0" smtClean="0">
              <a:solidFill>
                <a:sysClr val="window" lastClr="FFFFFF"/>
              </a:solidFill>
              <a:latin typeface="Arial"/>
              <a:ea typeface="+mn-ea"/>
              <a:cs typeface="+mn-cs"/>
            </a:rPr>
            <a:t>Oluşan Sızıntı Suyu</a:t>
          </a:r>
        </a:p>
        <a:p>
          <a:pPr rtl="0"/>
          <a:r>
            <a:rPr lang="tr-TR" sz="600" baseline="0" smtClean="0">
              <a:solidFill>
                <a:sysClr val="window" lastClr="FFFFFF"/>
              </a:solidFill>
              <a:latin typeface="Arial"/>
              <a:ea typeface="+mn-ea"/>
              <a:cs typeface="+mn-cs"/>
            </a:rPr>
            <a:t>(%35)</a:t>
          </a:r>
          <a:endParaRPr lang="tr-TR" sz="600">
            <a:solidFill>
              <a:sysClr val="window" lastClr="FFFFFF"/>
            </a:solidFill>
            <a:latin typeface="Calibri"/>
            <a:ea typeface="+mn-ea"/>
            <a:cs typeface="+mn-cs"/>
          </a:endParaRPr>
        </a:p>
      </dgm:t>
    </dgm:pt>
    <dgm:pt modelId="{38410372-B349-44DD-A811-4F8C65D06309}" type="parTrans" cxnId="{02F391DA-66C4-4567-B2C4-2556AEBF5EE7}">
      <dgm:prSet/>
      <dgm:spPr/>
      <dgm:t>
        <a:bodyPr/>
        <a:lstStyle/>
        <a:p>
          <a:endParaRPr lang="tr-TR" sz="600"/>
        </a:p>
      </dgm:t>
    </dgm:pt>
    <dgm:pt modelId="{D313B6F6-347D-4331-AA4F-561881C70754}" type="sibTrans" cxnId="{02F391DA-66C4-4567-B2C4-2556AEBF5EE7}">
      <dgm:prSet/>
      <dgm:spPr/>
      <dgm:t>
        <a:bodyPr/>
        <a:lstStyle/>
        <a:p>
          <a:endParaRPr lang="tr-TR" sz="600"/>
        </a:p>
      </dgm:t>
    </dgm:pt>
    <dgm:pt modelId="{DA476145-8CAB-4797-B92B-309E0EE9BA24}" type="asst">
      <dgm:prSet phldrT="[Metin]" custT="1"/>
      <dgm:spPr>
        <a:xfrm>
          <a:off x="146801" y="1181300"/>
          <a:ext cx="969829" cy="5640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600" baseline="0" smtClean="0">
              <a:solidFill>
                <a:sysClr val="window" lastClr="FFFFFF"/>
              </a:solidFill>
              <a:latin typeface="Arial"/>
              <a:ea typeface="+mn-ea"/>
              <a:cs typeface="+mn-cs"/>
            </a:rPr>
            <a:t>Noktasal (toplanan) Sızıntı Suyu</a:t>
          </a:r>
        </a:p>
        <a:p>
          <a:pPr rtl="0"/>
          <a:r>
            <a:rPr lang="tr-TR" sz="600" baseline="0" smtClean="0">
              <a:solidFill>
                <a:sysClr val="window" lastClr="FFFFFF"/>
              </a:solidFill>
              <a:latin typeface="Arial"/>
              <a:ea typeface="+mn-ea"/>
              <a:cs typeface="+mn-cs"/>
            </a:rPr>
            <a:t>(%17,5)</a:t>
          </a:r>
          <a:endParaRPr lang="tr-TR" sz="600">
            <a:solidFill>
              <a:sysClr val="window" lastClr="FFFFFF"/>
            </a:solidFill>
            <a:latin typeface="Calibri"/>
            <a:ea typeface="+mn-ea"/>
            <a:cs typeface="+mn-cs"/>
          </a:endParaRPr>
        </a:p>
      </dgm:t>
    </dgm:pt>
    <dgm:pt modelId="{0785AA2D-8D5F-4F56-B135-1EA2FD023DC3}" type="parTrans" cxnId="{B3198501-14E0-476E-8F4D-838C08BAC629}">
      <dgm:prSet/>
      <dgm:spPr>
        <a:xfrm>
          <a:off x="1116630" y="882879"/>
          <a:ext cx="132488" cy="580426"/>
        </a:xfrm>
        <a:noFill/>
        <a:ln w="25400" cap="flat" cmpd="sng" algn="ctr">
          <a:solidFill>
            <a:srgbClr val="4F81BD">
              <a:shade val="60000"/>
              <a:hueOff val="0"/>
              <a:satOff val="0"/>
              <a:lumOff val="0"/>
              <a:alphaOff val="0"/>
            </a:srgbClr>
          </a:solidFill>
          <a:prstDash val="solid"/>
        </a:ln>
        <a:effectLst/>
      </dgm:spPr>
      <dgm:t>
        <a:bodyPr/>
        <a:lstStyle/>
        <a:p>
          <a:endParaRPr lang="tr-TR" sz="600"/>
        </a:p>
      </dgm:t>
    </dgm:pt>
    <dgm:pt modelId="{753A5414-DDA5-4924-AE13-A8462E229EE7}" type="sibTrans" cxnId="{B3198501-14E0-476E-8F4D-838C08BAC629}">
      <dgm:prSet/>
      <dgm:spPr/>
      <dgm:t>
        <a:bodyPr/>
        <a:lstStyle/>
        <a:p>
          <a:endParaRPr lang="tr-TR" sz="600"/>
        </a:p>
      </dgm:t>
    </dgm:pt>
    <dgm:pt modelId="{877A7026-225C-42CF-8244-38BBD63ABD5F}" type="asst">
      <dgm:prSet custT="1"/>
      <dgm:spPr>
        <a:xfrm>
          <a:off x="1541060" y="1170626"/>
          <a:ext cx="942889" cy="5853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tr-TR" sz="600" baseline="0" smtClean="0">
              <a:solidFill>
                <a:sysClr val="window" lastClr="FFFFFF"/>
              </a:solidFill>
              <a:latin typeface="Arial"/>
              <a:ea typeface="+mn-ea"/>
              <a:cs typeface="+mn-cs"/>
            </a:rPr>
            <a:t>Yayılı Kaynak</a:t>
          </a:r>
        </a:p>
        <a:p>
          <a:pPr rtl="0"/>
          <a:r>
            <a:rPr lang="tr-TR" sz="600" baseline="0" smtClean="0">
              <a:solidFill>
                <a:sysClr val="window" lastClr="FFFFFF"/>
              </a:solidFill>
              <a:latin typeface="Arial"/>
              <a:ea typeface="+mn-ea"/>
              <a:cs typeface="+mn-cs"/>
            </a:rPr>
            <a:t>(%17,5)</a:t>
          </a:r>
          <a:endParaRPr lang="tr-TR" sz="600">
            <a:solidFill>
              <a:sysClr val="window" lastClr="FFFFFF"/>
            </a:solidFill>
            <a:latin typeface="Calibri"/>
            <a:ea typeface="+mn-ea"/>
            <a:cs typeface="+mn-cs"/>
          </a:endParaRPr>
        </a:p>
      </dgm:t>
    </dgm:pt>
    <dgm:pt modelId="{BF490DE1-27E6-44F8-9B04-E87BA000A5DC}" type="parTrans" cxnId="{BB9D495B-D10C-4C32-B816-A0F60F35D4E6}">
      <dgm:prSet/>
      <dgm:spPr>
        <a:xfrm>
          <a:off x="1249118" y="882879"/>
          <a:ext cx="291941" cy="580426"/>
        </a:xfrm>
        <a:noFill/>
        <a:ln w="25400" cap="flat" cmpd="sng" algn="ctr">
          <a:solidFill>
            <a:srgbClr val="4F81BD">
              <a:shade val="60000"/>
              <a:hueOff val="0"/>
              <a:satOff val="0"/>
              <a:lumOff val="0"/>
              <a:alphaOff val="0"/>
            </a:srgbClr>
          </a:solidFill>
          <a:prstDash val="solid"/>
        </a:ln>
        <a:effectLst/>
      </dgm:spPr>
      <dgm:t>
        <a:bodyPr/>
        <a:lstStyle/>
        <a:p>
          <a:endParaRPr lang="tr-TR" sz="600"/>
        </a:p>
      </dgm:t>
    </dgm:pt>
    <dgm:pt modelId="{46059B3D-E2A3-4216-A2C8-0D6A0F5282BF}" type="sibTrans" cxnId="{BB9D495B-D10C-4C32-B816-A0F60F35D4E6}">
      <dgm:prSet/>
      <dgm:spPr/>
      <dgm:t>
        <a:bodyPr/>
        <a:lstStyle/>
        <a:p>
          <a:endParaRPr lang="tr-TR" sz="600"/>
        </a:p>
      </dgm:t>
    </dgm:pt>
    <dgm:pt modelId="{DF810076-6C32-4B27-93C9-558012EFEAFB}" type="pres">
      <dgm:prSet presAssocID="{5FA989B7-4152-4DC2-825C-7C75F76333E5}" presName="hierChild1" presStyleCnt="0">
        <dgm:presLayoutVars>
          <dgm:orgChart val="1"/>
          <dgm:chPref val="1"/>
          <dgm:dir/>
          <dgm:animOne val="branch"/>
          <dgm:animLvl val="lvl"/>
          <dgm:resizeHandles/>
        </dgm:presLayoutVars>
      </dgm:prSet>
      <dgm:spPr/>
      <dgm:t>
        <a:bodyPr/>
        <a:lstStyle/>
        <a:p>
          <a:endParaRPr lang="tr-TR"/>
        </a:p>
      </dgm:t>
    </dgm:pt>
    <dgm:pt modelId="{1FFAE1A8-99C5-476C-97BD-401DC2F7B6AC}" type="pres">
      <dgm:prSet presAssocID="{0FB35C6B-8540-491D-9A2C-6E4DD0A4A4E9}" presName="hierRoot1" presStyleCnt="0">
        <dgm:presLayoutVars>
          <dgm:hierBranch val="init"/>
        </dgm:presLayoutVars>
      </dgm:prSet>
      <dgm:spPr/>
    </dgm:pt>
    <dgm:pt modelId="{25E7A632-8AF9-4A4D-8E59-8E255F4B5B53}" type="pres">
      <dgm:prSet presAssocID="{0FB35C6B-8540-491D-9A2C-6E4DD0A4A4E9}" presName="rootComposite1" presStyleCnt="0"/>
      <dgm:spPr/>
    </dgm:pt>
    <dgm:pt modelId="{BB510EF6-5EF2-4498-B0A5-5EC5D3BE3B70}" type="pres">
      <dgm:prSet presAssocID="{0FB35C6B-8540-491D-9A2C-6E4DD0A4A4E9}" presName="rootText1" presStyleLbl="node0" presStyleIdx="0" presStyleCnt="1" custScaleX="115331" custScaleY="130800">
        <dgm:presLayoutVars>
          <dgm:chPref val="3"/>
        </dgm:presLayoutVars>
      </dgm:prSet>
      <dgm:spPr>
        <a:prstGeom prst="rect">
          <a:avLst/>
        </a:prstGeom>
      </dgm:spPr>
      <dgm:t>
        <a:bodyPr/>
        <a:lstStyle/>
        <a:p>
          <a:endParaRPr lang="tr-TR"/>
        </a:p>
      </dgm:t>
    </dgm:pt>
    <dgm:pt modelId="{3FF748E3-24D9-449E-8AF8-5F40DCFE77F5}" type="pres">
      <dgm:prSet presAssocID="{0FB35C6B-8540-491D-9A2C-6E4DD0A4A4E9}" presName="rootConnector1" presStyleLbl="node1" presStyleIdx="0" presStyleCnt="0"/>
      <dgm:spPr/>
      <dgm:t>
        <a:bodyPr/>
        <a:lstStyle/>
        <a:p>
          <a:endParaRPr lang="tr-TR"/>
        </a:p>
      </dgm:t>
    </dgm:pt>
    <dgm:pt modelId="{51444113-FAF6-4EAC-9736-6913633DE33B}" type="pres">
      <dgm:prSet presAssocID="{0FB35C6B-8540-491D-9A2C-6E4DD0A4A4E9}" presName="hierChild2" presStyleCnt="0"/>
      <dgm:spPr/>
    </dgm:pt>
    <dgm:pt modelId="{5931C09C-6D63-4EA9-98E7-6E693CFDDDD7}" type="pres">
      <dgm:prSet presAssocID="{0FB35C6B-8540-491D-9A2C-6E4DD0A4A4E9}" presName="hierChild3" presStyleCnt="0"/>
      <dgm:spPr/>
    </dgm:pt>
    <dgm:pt modelId="{6083038D-E50F-4675-B03E-F897BD2A0A15}" type="pres">
      <dgm:prSet presAssocID="{0785AA2D-8D5F-4F56-B135-1EA2FD023DC3}" presName="Name111" presStyleLbl="parChTrans1D2" presStyleIdx="0" presStyleCnt="2"/>
      <dgm:spPr>
        <a:custGeom>
          <a:avLst/>
          <a:gdLst/>
          <a:ahLst/>
          <a:cxnLst/>
          <a:rect l="0" t="0" r="0" b="0"/>
          <a:pathLst>
            <a:path>
              <a:moveTo>
                <a:pt x="132488" y="0"/>
              </a:moveTo>
              <a:lnTo>
                <a:pt x="132488" y="580426"/>
              </a:lnTo>
              <a:lnTo>
                <a:pt x="0" y="580426"/>
              </a:lnTo>
            </a:path>
          </a:pathLst>
        </a:custGeom>
      </dgm:spPr>
      <dgm:t>
        <a:bodyPr/>
        <a:lstStyle/>
        <a:p>
          <a:endParaRPr lang="tr-TR"/>
        </a:p>
      </dgm:t>
    </dgm:pt>
    <dgm:pt modelId="{1A3A067E-07D8-4E4F-94BA-425D40154DC8}" type="pres">
      <dgm:prSet presAssocID="{DA476145-8CAB-4797-B92B-309E0EE9BA24}" presName="hierRoot3" presStyleCnt="0">
        <dgm:presLayoutVars>
          <dgm:hierBranch val="init"/>
        </dgm:presLayoutVars>
      </dgm:prSet>
      <dgm:spPr/>
    </dgm:pt>
    <dgm:pt modelId="{429C289A-E31E-45E0-BEA6-08F4175824BC}" type="pres">
      <dgm:prSet presAssocID="{DA476145-8CAB-4797-B92B-309E0EE9BA24}" presName="rootComposite3" presStyleCnt="0"/>
      <dgm:spPr/>
    </dgm:pt>
    <dgm:pt modelId="{87A72D79-117D-40CB-B84C-4428FEC16AD0}" type="pres">
      <dgm:prSet presAssocID="{DA476145-8CAB-4797-B92B-309E0EE9BA24}" presName="rootText3" presStyleLbl="asst1" presStyleIdx="0" presStyleCnt="2" custScaleX="76861" custScaleY="89398" custLinFactNeighborX="-6932" custLinFactNeighborY="3781">
        <dgm:presLayoutVars>
          <dgm:chPref val="3"/>
        </dgm:presLayoutVars>
      </dgm:prSet>
      <dgm:spPr>
        <a:prstGeom prst="rect">
          <a:avLst/>
        </a:prstGeom>
      </dgm:spPr>
      <dgm:t>
        <a:bodyPr/>
        <a:lstStyle/>
        <a:p>
          <a:endParaRPr lang="tr-TR"/>
        </a:p>
      </dgm:t>
    </dgm:pt>
    <dgm:pt modelId="{89799D56-CE9F-4277-AA7F-8C156421FF5D}" type="pres">
      <dgm:prSet presAssocID="{DA476145-8CAB-4797-B92B-309E0EE9BA24}" presName="rootConnector3" presStyleLbl="asst1" presStyleIdx="0" presStyleCnt="2"/>
      <dgm:spPr/>
      <dgm:t>
        <a:bodyPr/>
        <a:lstStyle/>
        <a:p>
          <a:endParaRPr lang="tr-TR"/>
        </a:p>
      </dgm:t>
    </dgm:pt>
    <dgm:pt modelId="{0BF8B86B-7905-481F-A13A-B4D8875FDC98}" type="pres">
      <dgm:prSet presAssocID="{DA476145-8CAB-4797-B92B-309E0EE9BA24}" presName="hierChild6" presStyleCnt="0"/>
      <dgm:spPr/>
    </dgm:pt>
    <dgm:pt modelId="{F304D03C-6A5D-41DD-9CDB-A2C9DEA59AE1}" type="pres">
      <dgm:prSet presAssocID="{DA476145-8CAB-4797-B92B-309E0EE9BA24}" presName="hierChild7" presStyleCnt="0"/>
      <dgm:spPr/>
    </dgm:pt>
    <dgm:pt modelId="{872D25D9-93E5-486E-AA45-4CE52D4D9410}" type="pres">
      <dgm:prSet presAssocID="{BF490DE1-27E6-44F8-9B04-E87BA000A5DC}" presName="Name111" presStyleLbl="parChTrans1D2" presStyleIdx="1" presStyleCnt="2"/>
      <dgm:spPr>
        <a:custGeom>
          <a:avLst/>
          <a:gdLst/>
          <a:ahLst/>
          <a:cxnLst/>
          <a:rect l="0" t="0" r="0" b="0"/>
          <a:pathLst>
            <a:path>
              <a:moveTo>
                <a:pt x="0" y="0"/>
              </a:moveTo>
              <a:lnTo>
                <a:pt x="0" y="580426"/>
              </a:lnTo>
              <a:lnTo>
                <a:pt x="291941" y="580426"/>
              </a:lnTo>
            </a:path>
          </a:pathLst>
        </a:custGeom>
      </dgm:spPr>
      <dgm:t>
        <a:bodyPr/>
        <a:lstStyle/>
        <a:p>
          <a:endParaRPr lang="tr-TR"/>
        </a:p>
      </dgm:t>
    </dgm:pt>
    <dgm:pt modelId="{05BA131A-3021-4458-869A-50CE660EAE79}" type="pres">
      <dgm:prSet presAssocID="{877A7026-225C-42CF-8244-38BBD63ABD5F}" presName="hierRoot3" presStyleCnt="0">
        <dgm:presLayoutVars>
          <dgm:hierBranch val="init"/>
        </dgm:presLayoutVars>
      </dgm:prSet>
      <dgm:spPr/>
    </dgm:pt>
    <dgm:pt modelId="{8E9F393D-60FA-4AB8-A1C1-57A35151A49C}" type="pres">
      <dgm:prSet presAssocID="{877A7026-225C-42CF-8244-38BBD63ABD5F}" presName="rootComposite3" presStyleCnt="0"/>
      <dgm:spPr/>
    </dgm:pt>
    <dgm:pt modelId="{E8FB6489-229A-405F-B0C0-3A92305392BD}" type="pres">
      <dgm:prSet presAssocID="{877A7026-225C-42CF-8244-38BBD63ABD5F}" presName="rootText3" presStyleLbl="asst1" presStyleIdx="1" presStyleCnt="2" custScaleX="74726" custScaleY="92782">
        <dgm:presLayoutVars>
          <dgm:chPref val="3"/>
        </dgm:presLayoutVars>
      </dgm:prSet>
      <dgm:spPr>
        <a:prstGeom prst="rect">
          <a:avLst/>
        </a:prstGeom>
      </dgm:spPr>
      <dgm:t>
        <a:bodyPr/>
        <a:lstStyle/>
        <a:p>
          <a:endParaRPr lang="tr-TR"/>
        </a:p>
      </dgm:t>
    </dgm:pt>
    <dgm:pt modelId="{28FC262F-25D1-441A-BD4B-446F174C9CDB}" type="pres">
      <dgm:prSet presAssocID="{877A7026-225C-42CF-8244-38BBD63ABD5F}" presName="rootConnector3" presStyleLbl="asst1" presStyleIdx="1" presStyleCnt="2"/>
      <dgm:spPr/>
      <dgm:t>
        <a:bodyPr/>
        <a:lstStyle/>
        <a:p>
          <a:endParaRPr lang="tr-TR"/>
        </a:p>
      </dgm:t>
    </dgm:pt>
    <dgm:pt modelId="{3AC4DE0B-D9D9-4596-9C4D-12B9C410E2A4}" type="pres">
      <dgm:prSet presAssocID="{877A7026-225C-42CF-8244-38BBD63ABD5F}" presName="hierChild6" presStyleCnt="0"/>
      <dgm:spPr/>
    </dgm:pt>
    <dgm:pt modelId="{551B2737-E69F-404C-AB15-5EBFCFE8DCB9}" type="pres">
      <dgm:prSet presAssocID="{877A7026-225C-42CF-8244-38BBD63ABD5F}" presName="hierChild7" presStyleCnt="0"/>
      <dgm:spPr/>
    </dgm:pt>
  </dgm:ptLst>
  <dgm:cxnLst>
    <dgm:cxn modelId="{A062B2D4-04EA-4707-9745-20C574040D2D}" type="presOf" srcId="{0FB35C6B-8540-491D-9A2C-6E4DD0A4A4E9}" destId="{BB510EF6-5EF2-4498-B0A5-5EC5D3BE3B70}" srcOrd="0" destOrd="0" presId="urn:microsoft.com/office/officeart/2005/8/layout/orgChart1"/>
    <dgm:cxn modelId="{538FA627-43AD-4E73-8262-4D3593ED7BB3}" type="presOf" srcId="{877A7026-225C-42CF-8244-38BBD63ABD5F}" destId="{E8FB6489-229A-405F-B0C0-3A92305392BD}" srcOrd="0" destOrd="0" presId="urn:microsoft.com/office/officeart/2005/8/layout/orgChart1"/>
    <dgm:cxn modelId="{D3C71476-EF3B-4969-837D-615E60975093}" type="presOf" srcId="{0FB35C6B-8540-491D-9A2C-6E4DD0A4A4E9}" destId="{3FF748E3-24D9-449E-8AF8-5F40DCFE77F5}" srcOrd="1" destOrd="0" presId="urn:microsoft.com/office/officeart/2005/8/layout/orgChart1"/>
    <dgm:cxn modelId="{F3094222-CE9F-469C-8931-25499120079D}" type="presOf" srcId="{877A7026-225C-42CF-8244-38BBD63ABD5F}" destId="{28FC262F-25D1-441A-BD4B-446F174C9CDB}" srcOrd="1" destOrd="0" presId="urn:microsoft.com/office/officeart/2005/8/layout/orgChart1"/>
    <dgm:cxn modelId="{BF80A49B-7892-4A46-B71A-9FE5B8A02595}" type="presOf" srcId="{BF490DE1-27E6-44F8-9B04-E87BA000A5DC}" destId="{872D25D9-93E5-486E-AA45-4CE52D4D9410}" srcOrd="0" destOrd="0" presId="urn:microsoft.com/office/officeart/2005/8/layout/orgChart1"/>
    <dgm:cxn modelId="{BB9D495B-D10C-4C32-B816-A0F60F35D4E6}" srcId="{0FB35C6B-8540-491D-9A2C-6E4DD0A4A4E9}" destId="{877A7026-225C-42CF-8244-38BBD63ABD5F}" srcOrd="1" destOrd="0" parTransId="{BF490DE1-27E6-44F8-9B04-E87BA000A5DC}" sibTransId="{46059B3D-E2A3-4216-A2C8-0D6A0F5282BF}"/>
    <dgm:cxn modelId="{02F391DA-66C4-4567-B2C4-2556AEBF5EE7}" srcId="{5FA989B7-4152-4DC2-825C-7C75F76333E5}" destId="{0FB35C6B-8540-491D-9A2C-6E4DD0A4A4E9}" srcOrd="0" destOrd="0" parTransId="{38410372-B349-44DD-A811-4F8C65D06309}" sibTransId="{D313B6F6-347D-4331-AA4F-561881C70754}"/>
    <dgm:cxn modelId="{9BB9C4E4-BD72-40C7-90E3-5E0610360B06}" type="presOf" srcId="{DA476145-8CAB-4797-B92B-309E0EE9BA24}" destId="{87A72D79-117D-40CB-B84C-4428FEC16AD0}" srcOrd="0" destOrd="0" presId="urn:microsoft.com/office/officeart/2005/8/layout/orgChart1"/>
    <dgm:cxn modelId="{5F70A5C6-84AB-43DB-B9D4-DBC6A49D0444}" type="presOf" srcId="{DA476145-8CAB-4797-B92B-309E0EE9BA24}" destId="{89799D56-CE9F-4277-AA7F-8C156421FF5D}" srcOrd="1" destOrd="0" presId="urn:microsoft.com/office/officeart/2005/8/layout/orgChart1"/>
    <dgm:cxn modelId="{5B09C1A7-C7C6-4D99-A2A0-3944DA05A9D2}" type="presOf" srcId="{5FA989B7-4152-4DC2-825C-7C75F76333E5}" destId="{DF810076-6C32-4B27-93C9-558012EFEAFB}" srcOrd="0" destOrd="0" presId="urn:microsoft.com/office/officeart/2005/8/layout/orgChart1"/>
    <dgm:cxn modelId="{B3198501-14E0-476E-8F4D-838C08BAC629}" srcId="{0FB35C6B-8540-491D-9A2C-6E4DD0A4A4E9}" destId="{DA476145-8CAB-4797-B92B-309E0EE9BA24}" srcOrd="0" destOrd="0" parTransId="{0785AA2D-8D5F-4F56-B135-1EA2FD023DC3}" sibTransId="{753A5414-DDA5-4924-AE13-A8462E229EE7}"/>
    <dgm:cxn modelId="{A53C5480-632B-4B45-9627-2146FC486819}" type="presOf" srcId="{0785AA2D-8D5F-4F56-B135-1EA2FD023DC3}" destId="{6083038D-E50F-4675-B03E-F897BD2A0A15}" srcOrd="0" destOrd="0" presId="urn:microsoft.com/office/officeart/2005/8/layout/orgChart1"/>
    <dgm:cxn modelId="{0ED9D623-39D6-4A3D-A0BD-F050E98C82FB}" type="presParOf" srcId="{DF810076-6C32-4B27-93C9-558012EFEAFB}" destId="{1FFAE1A8-99C5-476C-97BD-401DC2F7B6AC}" srcOrd="0" destOrd="0" presId="urn:microsoft.com/office/officeart/2005/8/layout/orgChart1"/>
    <dgm:cxn modelId="{0414F7B5-FA93-4814-907B-9E1B698FFCE2}" type="presParOf" srcId="{1FFAE1A8-99C5-476C-97BD-401DC2F7B6AC}" destId="{25E7A632-8AF9-4A4D-8E59-8E255F4B5B53}" srcOrd="0" destOrd="0" presId="urn:microsoft.com/office/officeart/2005/8/layout/orgChart1"/>
    <dgm:cxn modelId="{79B28788-D325-4A82-9B24-FBBB4C1C0A31}" type="presParOf" srcId="{25E7A632-8AF9-4A4D-8E59-8E255F4B5B53}" destId="{BB510EF6-5EF2-4498-B0A5-5EC5D3BE3B70}" srcOrd="0" destOrd="0" presId="urn:microsoft.com/office/officeart/2005/8/layout/orgChart1"/>
    <dgm:cxn modelId="{76AFFA1C-A78D-4CAA-BC32-5EA83F81CECC}" type="presParOf" srcId="{25E7A632-8AF9-4A4D-8E59-8E255F4B5B53}" destId="{3FF748E3-24D9-449E-8AF8-5F40DCFE77F5}" srcOrd="1" destOrd="0" presId="urn:microsoft.com/office/officeart/2005/8/layout/orgChart1"/>
    <dgm:cxn modelId="{37627E92-508A-4283-98B5-45CC358D0112}" type="presParOf" srcId="{1FFAE1A8-99C5-476C-97BD-401DC2F7B6AC}" destId="{51444113-FAF6-4EAC-9736-6913633DE33B}" srcOrd="1" destOrd="0" presId="urn:microsoft.com/office/officeart/2005/8/layout/orgChart1"/>
    <dgm:cxn modelId="{B52A476F-241C-4E3D-8B33-B0FC58F6BAC2}" type="presParOf" srcId="{1FFAE1A8-99C5-476C-97BD-401DC2F7B6AC}" destId="{5931C09C-6D63-4EA9-98E7-6E693CFDDDD7}" srcOrd="2" destOrd="0" presId="urn:microsoft.com/office/officeart/2005/8/layout/orgChart1"/>
    <dgm:cxn modelId="{32936E7B-1DB3-46D5-9FB1-0E1F73C15C78}" type="presParOf" srcId="{5931C09C-6D63-4EA9-98E7-6E693CFDDDD7}" destId="{6083038D-E50F-4675-B03E-F897BD2A0A15}" srcOrd="0" destOrd="0" presId="urn:microsoft.com/office/officeart/2005/8/layout/orgChart1"/>
    <dgm:cxn modelId="{64179DEB-F7CF-4388-BB4B-F4744F05EED9}" type="presParOf" srcId="{5931C09C-6D63-4EA9-98E7-6E693CFDDDD7}" destId="{1A3A067E-07D8-4E4F-94BA-425D40154DC8}" srcOrd="1" destOrd="0" presId="urn:microsoft.com/office/officeart/2005/8/layout/orgChart1"/>
    <dgm:cxn modelId="{2B8CCB32-A844-440E-B472-85FD63499A0B}" type="presParOf" srcId="{1A3A067E-07D8-4E4F-94BA-425D40154DC8}" destId="{429C289A-E31E-45E0-BEA6-08F4175824BC}" srcOrd="0" destOrd="0" presId="urn:microsoft.com/office/officeart/2005/8/layout/orgChart1"/>
    <dgm:cxn modelId="{654BCC00-4CF7-4936-8F44-5B8E04D78299}" type="presParOf" srcId="{429C289A-E31E-45E0-BEA6-08F4175824BC}" destId="{87A72D79-117D-40CB-B84C-4428FEC16AD0}" srcOrd="0" destOrd="0" presId="urn:microsoft.com/office/officeart/2005/8/layout/orgChart1"/>
    <dgm:cxn modelId="{A823B6AD-5D09-4104-A5C0-4864B0BEC7CF}" type="presParOf" srcId="{429C289A-E31E-45E0-BEA6-08F4175824BC}" destId="{89799D56-CE9F-4277-AA7F-8C156421FF5D}" srcOrd="1" destOrd="0" presId="urn:microsoft.com/office/officeart/2005/8/layout/orgChart1"/>
    <dgm:cxn modelId="{17583378-05C1-4E1F-A2AB-9554DBB11254}" type="presParOf" srcId="{1A3A067E-07D8-4E4F-94BA-425D40154DC8}" destId="{0BF8B86B-7905-481F-A13A-B4D8875FDC98}" srcOrd="1" destOrd="0" presId="urn:microsoft.com/office/officeart/2005/8/layout/orgChart1"/>
    <dgm:cxn modelId="{F0623A97-4AB3-4602-A204-45B6F596EBDE}" type="presParOf" srcId="{1A3A067E-07D8-4E4F-94BA-425D40154DC8}" destId="{F304D03C-6A5D-41DD-9CDB-A2C9DEA59AE1}" srcOrd="2" destOrd="0" presId="urn:microsoft.com/office/officeart/2005/8/layout/orgChart1"/>
    <dgm:cxn modelId="{EE254117-F449-4118-826C-EF5906CE34E6}" type="presParOf" srcId="{5931C09C-6D63-4EA9-98E7-6E693CFDDDD7}" destId="{872D25D9-93E5-486E-AA45-4CE52D4D9410}" srcOrd="2" destOrd="0" presId="urn:microsoft.com/office/officeart/2005/8/layout/orgChart1"/>
    <dgm:cxn modelId="{078EF1FD-D7D8-43D8-AC04-27F11D24115F}" type="presParOf" srcId="{5931C09C-6D63-4EA9-98E7-6E693CFDDDD7}" destId="{05BA131A-3021-4458-869A-50CE660EAE79}" srcOrd="3" destOrd="0" presId="urn:microsoft.com/office/officeart/2005/8/layout/orgChart1"/>
    <dgm:cxn modelId="{7E7A897F-8DC6-40D0-A75C-2DC65271ED50}" type="presParOf" srcId="{05BA131A-3021-4458-869A-50CE660EAE79}" destId="{8E9F393D-60FA-4AB8-A1C1-57A35151A49C}" srcOrd="0" destOrd="0" presId="urn:microsoft.com/office/officeart/2005/8/layout/orgChart1"/>
    <dgm:cxn modelId="{D9D4B339-A344-45E6-8054-0AA14512E919}" type="presParOf" srcId="{8E9F393D-60FA-4AB8-A1C1-57A35151A49C}" destId="{E8FB6489-229A-405F-B0C0-3A92305392BD}" srcOrd="0" destOrd="0" presId="urn:microsoft.com/office/officeart/2005/8/layout/orgChart1"/>
    <dgm:cxn modelId="{9FD61704-070C-4717-B2B1-B4B515CFEE19}" type="presParOf" srcId="{8E9F393D-60FA-4AB8-A1C1-57A35151A49C}" destId="{28FC262F-25D1-441A-BD4B-446F174C9CDB}" srcOrd="1" destOrd="0" presId="urn:microsoft.com/office/officeart/2005/8/layout/orgChart1"/>
    <dgm:cxn modelId="{A0ABB83E-5FDD-4AA3-A8DE-7A0FD2179CFC}" type="presParOf" srcId="{05BA131A-3021-4458-869A-50CE660EAE79}" destId="{3AC4DE0B-D9D9-4596-9C4D-12B9C410E2A4}" srcOrd="1" destOrd="0" presId="urn:microsoft.com/office/officeart/2005/8/layout/orgChart1"/>
    <dgm:cxn modelId="{B179303D-02CE-4FF4-B650-984B7760E8DC}" type="presParOf" srcId="{05BA131A-3021-4458-869A-50CE660EAE79}" destId="{551B2737-E69F-404C-AB15-5EBFCFE8DCB9}"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A989B7-4152-4DC2-825C-7C75F76333E5}" type="doc">
      <dgm:prSet loTypeId="urn:microsoft.com/office/officeart/2005/8/layout/orgChart1" loCatId="hierarchy" qsTypeId="urn:microsoft.com/office/officeart/2005/8/quickstyle/simple1#2" qsCatId="simple" csTypeId="urn:microsoft.com/office/officeart/2005/8/colors/accent1_2#2" csCatId="accent1" phldr="1"/>
      <dgm:spPr/>
      <dgm:t>
        <a:bodyPr/>
        <a:lstStyle/>
        <a:p>
          <a:endParaRPr lang="tr-TR"/>
        </a:p>
      </dgm:t>
    </dgm:pt>
    <dgm:pt modelId="{0FB35C6B-8540-491D-9A2C-6E4DD0A4A4E9}">
      <dgm:prSet phldrT="[Metin]" custT="1"/>
      <dgm:spPr>
        <a:xfrm>
          <a:off x="521497" y="57664"/>
          <a:ext cx="1455242" cy="8252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600" baseline="0" smtClean="0">
              <a:solidFill>
                <a:sysClr val="window" lastClr="FFFFFF"/>
              </a:solidFill>
              <a:latin typeface="Arial"/>
              <a:ea typeface="+mn-ea"/>
              <a:cs typeface="+mn-cs"/>
            </a:rPr>
            <a:t>Düzenli  Depoalama Alanı veya İnşaası Planlanan Düz.Dep. Alanı</a:t>
          </a:r>
        </a:p>
        <a:p>
          <a:pPr rtl="0"/>
          <a:r>
            <a:rPr lang="tr-TR" sz="600" baseline="0" smtClean="0">
              <a:solidFill>
                <a:sysClr val="window" lastClr="FFFFFF"/>
              </a:solidFill>
              <a:latin typeface="Arial"/>
              <a:ea typeface="+mn-ea"/>
              <a:cs typeface="+mn-cs"/>
            </a:rPr>
            <a:t> (2010</a:t>
          </a:r>
          <a:r>
            <a:rPr lang="tr-TR" sz="600" baseline="30000" smtClean="0">
              <a:solidFill>
                <a:sysClr val="window" lastClr="FFFFFF"/>
              </a:solidFill>
              <a:latin typeface="Arial"/>
              <a:ea typeface="+mn-ea"/>
              <a:cs typeface="+mn-cs"/>
            </a:rPr>
            <a:t>*</a:t>
          </a:r>
          <a:r>
            <a:rPr lang="tr-TR" sz="600" baseline="0" smtClean="0">
              <a:solidFill>
                <a:sysClr val="window" lastClr="FFFFFF"/>
              </a:solidFill>
              <a:latin typeface="Arial"/>
              <a:ea typeface="+mn-ea"/>
              <a:cs typeface="+mn-cs"/>
            </a:rPr>
            <a:t>-2040)</a:t>
          </a:r>
        </a:p>
        <a:p>
          <a:pPr rtl="0"/>
          <a:endParaRPr lang="tr-TR" sz="600" baseline="0" smtClean="0">
            <a:solidFill>
              <a:sysClr val="window" lastClr="FFFFFF"/>
            </a:solidFill>
            <a:latin typeface="Arial"/>
            <a:ea typeface="+mn-ea"/>
            <a:cs typeface="+mn-cs"/>
          </a:endParaRPr>
        </a:p>
        <a:p>
          <a:pPr rtl="0"/>
          <a:r>
            <a:rPr lang="tr-TR" sz="600" baseline="0" smtClean="0">
              <a:solidFill>
                <a:sysClr val="window" lastClr="FFFFFF"/>
              </a:solidFill>
              <a:latin typeface="Arial"/>
              <a:ea typeface="+mn-ea"/>
              <a:cs typeface="+mn-cs"/>
            </a:rPr>
            <a:t>Oluşan Sızıntı Suyu</a:t>
          </a:r>
        </a:p>
        <a:p>
          <a:pPr rtl="0"/>
          <a:r>
            <a:rPr lang="tr-TR" sz="600" baseline="0" smtClean="0">
              <a:solidFill>
                <a:sysClr val="window" lastClr="FFFFFF"/>
              </a:solidFill>
              <a:latin typeface="Arial"/>
              <a:ea typeface="+mn-ea"/>
              <a:cs typeface="+mn-cs"/>
            </a:rPr>
            <a:t>(%100)</a:t>
          </a:r>
          <a:endParaRPr lang="tr-TR" sz="600">
            <a:solidFill>
              <a:sysClr val="window" lastClr="FFFFFF"/>
            </a:solidFill>
            <a:latin typeface="Calibri"/>
            <a:ea typeface="+mn-ea"/>
            <a:cs typeface="+mn-cs"/>
          </a:endParaRPr>
        </a:p>
      </dgm:t>
    </dgm:pt>
    <dgm:pt modelId="{38410372-B349-44DD-A811-4F8C65D06309}" type="parTrans" cxnId="{02F391DA-66C4-4567-B2C4-2556AEBF5EE7}">
      <dgm:prSet/>
      <dgm:spPr/>
      <dgm:t>
        <a:bodyPr/>
        <a:lstStyle/>
        <a:p>
          <a:endParaRPr lang="tr-TR" sz="600"/>
        </a:p>
      </dgm:t>
    </dgm:pt>
    <dgm:pt modelId="{D313B6F6-347D-4331-AA4F-561881C70754}" type="sibTrans" cxnId="{02F391DA-66C4-4567-B2C4-2556AEBF5EE7}">
      <dgm:prSet/>
      <dgm:spPr/>
      <dgm:t>
        <a:bodyPr/>
        <a:lstStyle/>
        <a:p>
          <a:endParaRPr lang="tr-TR" sz="600"/>
        </a:p>
      </dgm:t>
    </dgm:pt>
    <dgm:pt modelId="{DA476145-8CAB-4797-B92B-309E0EE9BA24}" type="asst">
      <dgm:prSet phldrT="[Metin]" custT="1"/>
      <dgm:spPr>
        <a:xfrm>
          <a:off x="146801" y="1181300"/>
          <a:ext cx="969829" cy="5640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600" baseline="0" smtClean="0">
              <a:solidFill>
                <a:sysClr val="window" lastClr="FFFFFF"/>
              </a:solidFill>
              <a:latin typeface="Arial"/>
              <a:ea typeface="+mn-ea"/>
              <a:cs typeface="+mn-cs"/>
            </a:rPr>
            <a:t>Noktasal (toplanan) Sızıntı Suyu</a:t>
          </a:r>
        </a:p>
        <a:p>
          <a:pPr rtl="0"/>
          <a:r>
            <a:rPr lang="tr-TR" sz="600" baseline="0" smtClean="0">
              <a:solidFill>
                <a:sysClr val="window" lastClr="FFFFFF"/>
              </a:solidFill>
              <a:latin typeface="Arial"/>
              <a:ea typeface="+mn-ea"/>
              <a:cs typeface="+mn-cs"/>
            </a:rPr>
            <a:t>(%100)</a:t>
          </a:r>
          <a:endParaRPr lang="tr-TR" sz="600">
            <a:solidFill>
              <a:sysClr val="window" lastClr="FFFFFF"/>
            </a:solidFill>
            <a:latin typeface="Calibri"/>
            <a:ea typeface="+mn-ea"/>
            <a:cs typeface="+mn-cs"/>
          </a:endParaRPr>
        </a:p>
      </dgm:t>
    </dgm:pt>
    <dgm:pt modelId="{0785AA2D-8D5F-4F56-B135-1EA2FD023DC3}" type="parTrans" cxnId="{B3198501-14E0-476E-8F4D-838C08BAC629}">
      <dgm:prSet/>
      <dgm:spPr>
        <a:xfrm>
          <a:off x="1116630" y="882879"/>
          <a:ext cx="132488" cy="580426"/>
        </a:xfrm>
        <a:noFill/>
        <a:ln w="25400" cap="flat" cmpd="sng" algn="ctr">
          <a:solidFill>
            <a:srgbClr val="4F81BD">
              <a:shade val="60000"/>
              <a:hueOff val="0"/>
              <a:satOff val="0"/>
              <a:lumOff val="0"/>
              <a:alphaOff val="0"/>
            </a:srgbClr>
          </a:solidFill>
          <a:prstDash val="solid"/>
        </a:ln>
        <a:effectLst/>
      </dgm:spPr>
      <dgm:t>
        <a:bodyPr/>
        <a:lstStyle/>
        <a:p>
          <a:endParaRPr lang="tr-TR" sz="600"/>
        </a:p>
      </dgm:t>
    </dgm:pt>
    <dgm:pt modelId="{753A5414-DDA5-4924-AE13-A8462E229EE7}" type="sibTrans" cxnId="{B3198501-14E0-476E-8F4D-838C08BAC629}">
      <dgm:prSet/>
      <dgm:spPr/>
      <dgm:t>
        <a:bodyPr/>
        <a:lstStyle/>
        <a:p>
          <a:endParaRPr lang="tr-TR" sz="600"/>
        </a:p>
      </dgm:t>
    </dgm:pt>
    <dgm:pt modelId="{877A7026-225C-42CF-8244-38BBD63ABD5F}" type="asst">
      <dgm:prSet custT="1"/>
      <dgm:spPr>
        <a:xfrm>
          <a:off x="1541060" y="1170626"/>
          <a:ext cx="942889" cy="5853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tr-TR" sz="600" baseline="0" smtClean="0">
              <a:solidFill>
                <a:sysClr val="window" lastClr="FFFFFF"/>
              </a:solidFill>
              <a:latin typeface="Arial"/>
              <a:ea typeface="+mn-ea"/>
              <a:cs typeface="+mn-cs"/>
            </a:rPr>
            <a:t>Yayılı Kaynak</a:t>
          </a:r>
        </a:p>
        <a:p>
          <a:pPr rtl="0"/>
          <a:r>
            <a:rPr lang="tr-TR" sz="600" baseline="0" smtClean="0">
              <a:solidFill>
                <a:sysClr val="window" lastClr="FFFFFF"/>
              </a:solidFill>
              <a:latin typeface="Arial"/>
              <a:ea typeface="+mn-ea"/>
              <a:cs typeface="+mn-cs"/>
            </a:rPr>
            <a:t>(%0)</a:t>
          </a:r>
          <a:endParaRPr lang="tr-TR" sz="600">
            <a:solidFill>
              <a:sysClr val="window" lastClr="FFFFFF"/>
            </a:solidFill>
            <a:latin typeface="Calibri"/>
            <a:ea typeface="+mn-ea"/>
            <a:cs typeface="+mn-cs"/>
          </a:endParaRPr>
        </a:p>
      </dgm:t>
    </dgm:pt>
    <dgm:pt modelId="{BF490DE1-27E6-44F8-9B04-E87BA000A5DC}" type="parTrans" cxnId="{BB9D495B-D10C-4C32-B816-A0F60F35D4E6}">
      <dgm:prSet/>
      <dgm:spPr>
        <a:xfrm>
          <a:off x="1249118" y="882879"/>
          <a:ext cx="291941" cy="580426"/>
        </a:xfrm>
        <a:noFill/>
        <a:ln w="25400" cap="flat" cmpd="sng" algn="ctr">
          <a:solidFill>
            <a:srgbClr val="4F81BD">
              <a:shade val="60000"/>
              <a:hueOff val="0"/>
              <a:satOff val="0"/>
              <a:lumOff val="0"/>
              <a:alphaOff val="0"/>
            </a:srgbClr>
          </a:solidFill>
          <a:prstDash val="solid"/>
        </a:ln>
        <a:effectLst/>
      </dgm:spPr>
      <dgm:t>
        <a:bodyPr/>
        <a:lstStyle/>
        <a:p>
          <a:endParaRPr lang="tr-TR" sz="600"/>
        </a:p>
      </dgm:t>
    </dgm:pt>
    <dgm:pt modelId="{46059B3D-E2A3-4216-A2C8-0D6A0F5282BF}" type="sibTrans" cxnId="{BB9D495B-D10C-4C32-B816-A0F60F35D4E6}">
      <dgm:prSet/>
      <dgm:spPr/>
      <dgm:t>
        <a:bodyPr/>
        <a:lstStyle/>
        <a:p>
          <a:endParaRPr lang="tr-TR" sz="600"/>
        </a:p>
      </dgm:t>
    </dgm:pt>
    <dgm:pt modelId="{DF810076-6C32-4B27-93C9-558012EFEAFB}" type="pres">
      <dgm:prSet presAssocID="{5FA989B7-4152-4DC2-825C-7C75F76333E5}" presName="hierChild1" presStyleCnt="0">
        <dgm:presLayoutVars>
          <dgm:orgChart val="1"/>
          <dgm:chPref val="1"/>
          <dgm:dir/>
          <dgm:animOne val="branch"/>
          <dgm:animLvl val="lvl"/>
          <dgm:resizeHandles/>
        </dgm:presLayoutVars>
      </dgm:prSet>
      <dgm:spPr/>
      <dgm:t>
        <a:bodyPr/>
        <a:lstStyle/>
        <a:p>
          <a:endParaRPr lang="tr-TR"/>
        </a:p>
      </dgm:t>
    </dgm:pt>
    <dgm:pt modelId="{1FFAE1A8-99C5-476C-97BD-401DC2F7B6AC}" type="pres">
      <dgm:prSet presAssocID="{0FB35C6B-8540-491D-9A2C-6E4DD0A4A4E9}" presName="hierRoot1" presStyleCnt="0">
        <dgm:presLayoutVars>
          <dgm:hierBranch val="init"/>
        </dgm:presLayoutVars>
      </dgm:prSet>
      <dgm:spPr/>
    </dgm:pt>
    <dgm:pt modelId="{25E7A632-8AF9-4A4D-8E59-8E255F4B5B53}" type="pres">
      <dgm:prSet presAssocID="{0FB35C6B-8540-491D-9A2C-6E4DD0A4A4E9}" presName="rootComposite1" presStyleCnt="0"/>
      <dgm:spPr/>
    </dgm:pt>
    <dgm:pt modelId="{BB510EF6-5EF2-4498-B0A5-5EC5D3BE3B70}" type="pres">
      <dgm:prSet presAssocID="{0FB35C6B-8540-491D-9A2C-6E4DD0A4A4E9}" presName="rootText1" presStyleLbl="node0" presStyleIdx="0" presStyleCnt="1" custScaleX="115331" custScaleY="130800">
        <dgm:presLayoutVars>
          <dgm:chPref val="3"/>
        </dgm:presLayoutVars>
      </dgm:prSet>
      <dgm:spPr>
        <a:prstGeom prst="rect">
          <a:avLst/>
        </a:prstGeom>
      </dgm:spPr>
      <dgm:t>
        <a:bodyPr/>
        <a:lstStyle/>
        <a:p>
          <a:endParaRPr lang="tr-TR"/>
        </a:p>
      </dgm:t>
    </dgm:pt>
    <dgm:pt modelId="{3FF748E3-24D9-449E-8AF8-5F40DCFE77F5}" type="pres">
      <dgm:prSet presAssocID="{0FB35C6B-8540-491D-9A2C-6E4DD0A4A4E9}" presName="rootConnector1" presStyleLbl="node1" presStyleIdx="0" presStyleCnt="0"/>
      <dgm:spPr/>
      <dgm:t>
        <a:bodyPr/>
        <a:lstStyle/>
        <a:p>
          <a:endParaRPr lang="tr-TR"/>
        </a:p>
      </dgm:t>
    </dgm:pt>
    <dgm:pt modelId="{51444113-FAF6-4EAC-9736-6913633DE33B}" type="pres">
      <dgm:prSet presAssocID="{0FB35C6B-8540-491D-9A2C-6E4DD0A4A4E9}" presName="hierChild2" presStyleCnt="0"/>
      <dgm:spPr/>
    </dgm:pt>
    <dgm:pt modelId="{5931C09C-6D63-4EA9-98E7-6E693CFDDDD7}" type="pres">
      <dgm:prSet presAssocID="{0FB35C6B-8540-491D-9A2C-6E4DD0A4A4E9}" presName="hierChild3" presStyleCnt="0"/>
      <dgm:spPr/>
    </dgm:pt>
    <dgm:pt modelId="{6083038D-E50F-4675-B03E-F897BD2A0A15}" type="pres">
      <dgm:prSet presAssocID="{0785AA2D-8D5F-4F56-B135-1EA2FD023DC3}" presName="Name111" presStyleLbl="parChTrans1D2" presStyleIdx="0" presStyleCnt="2"/>
      <dgm:spPr>
        <a:custGeom>
          <a:avLst/>
          <a:gdLst/>
          <a:ahLst/>
          <a:cxnLst/>
          <a:rect l="0" t="0" r="0" b="0"/>
          <a:pathLst>
            <a:path>
              <a:moveTo>
                <a:pt x="132488" y="0"/>
              </a:moveTo>
              <a:lnTo>
                <a:pt x="132488" y="580426"/>
              </a:lnTo>
              <a:lnTo>
                <a:pt x="0" y="580426"/>
              </a:lnTo>
            </a:path>
          </a:pathLst>
        </a:custGeom>
      </dgm:spPr>
      <dgm:t>
        <a:bodyPr/>
        <a:lstStyle/>
        <a:p>
          <a:endParaRPr lang="tr-TR"/>
        </a:p>
      </dgm:t>
    </dgm:pt>
    <dgm:pt modelId="{1A3A067E-07D8-4E4F-94BA-425D40154DC8}" type="pres">
      <dgm:prSet presAssocID="{DA476145-8CAB-4797-B92B-309E0EE9BA24}" presName="hierRoot3" presStyleCnt="0">
        <dgm:presLayoutVars>
          <dgm:hierBranch val="init"/>
        </dgm:presLayoutVars>
      </dgm:prSet>
      <dgm:spPr/>
    </dgm:pt>
    <dgm:pt modelId="{429C289A-E31E-45E0-BEA6-08F4175824BC}" type="pres">
      <dgm:prSet presAssocID="{DA476145-8CAB-4797-B92B-309E0EE9BA24}" presName="rootComposite3" presStyleCnt="0"/>
      <dgm:spPr/>
    </dgm:pt>
    <dgm:pt modelId="{87A72D79-117D-40CB-B84C-4428FEC16AD0}" type="pres">
      <dgm:prSet presAssocID="{DA476145-8CAB-4797-B92B-309E0EE9BA24}" presName="rootText3" presStyleLbl="asst1" presStyleIdx="0" presStyleCnt="2" custScaleX="76861" custScaleY="89398" custLinFactNeighborX="-6932" custLinFactNeighborY="3781">
        <dgm:presLayoutVars>
          <dgm:chPref val="3"/>
        </dgm:presLayoutVars>
      </dgm:prSet>
      <dgm:spPr>
        <a:prstGeom prst="rect">
          <a:avLst/>
        </a:prstGeom>
      </dgm:spPr>
      <dgm:t>
        <a:bodyPr/>
        <a:lstStyle/>
        <a:p>
          <a:endParaRPr lang="tr-TR"/>
        </a:p>
      </dgm:t>
    </dgm:pt>
    <dgm:pt modelId="{89799D56-CE9F-4277-AA7F-8C156421FF5D}" type="pres">
      <dgm:prSet presAssocID="{DA476145-8CAB-4797-B92B-309E0EE9BA24}" presName="rootConnector3" presStyleLbl="asst1" presStyleIdx="0" presStyleCnt="2"/>
      <dgm:spPr/>
      <dgm:t>
        <a:bodyPr/>
        <a:lstStyle/>
        <a:p>
          <a:endParaRPr lang="tr-TR"/>
        </a:p>
      </dgm:t>
    </dgm:pt>
    <dgm:pt modelId="{0BF8B86B-7905-481F-A13A-B4D8875FDC98}" type="pres">
      <dgm:prSet presAssocID="{DA476145-8CAB-4797-B92B-309E0EE9BA24}" presName="hierChild6" presStyleCnt="0"/>
      <dgm:spPr/>
    </dgm:pt>
    <dgm:pt modelId="{F304D03C-6A5D-41DD-9CDB-A2C9DEA59AE1}" type="pres">
      <dgm:prSet presAssocID="{DA476145-8CAB-4797-B92B-309E0EE9BA24}" presName="hierChild7" presStyleCnt="0"/>
      <dgm:spPr/>
    </dgm:pt>
    <dgm:pt modelId="{872D25D9-93E5-486E-AA45-4CE52D4D9410}" type="pres">
      <dgm:prSet presAssocID="{BF490DE1-27E6-44F8-9B04-E87BA000A5DC}" presName="Name111" presStyleLbl="parChTrans1D2" presStyleIdx="1" presStyleCnt="2"/>
      <dgm:spPr>
        <a:custGeom>
          <a:avLst/>
          <a:gdLst/>
          <a:ahLst/>
          <a:cxnLst/>
          <a:rect l="0" t="0" r="0" b="0"/>
          <a:pathLst>
            <a:path>
              <a:moveTo>
                <a:pt x="0" y="0"/>
              </a:moveTo>
              <a:lnTo>
                <a:pt x="0" y="580426"/>
              </a:lnTo>
              <a:lnTo>
                <a:pt x="291941" y="580426"/>
              </a:lnTo>
            </a:path>
          </a:pathLst>
        </a:custGeom>
      </dgm:spPr>
      <dgm:t>
        <a:bodyPr/>
        <a:lstStyle/>
        <a:p>
          <a:endParaRPr lang="tr-TR"/>
        </a:p>
      </dgm:t>
    </dgm:pt>
    <dgm:pt modelId="{05BA131A-3021-4458-869A-50CE660EAE79}" type="pres">
      <dgm:prSet presAssocID="{877A7026-225C-42CF-8244-38BBD63ABD5F}" presName="hierRoot3" presStyleCnt="0">
        <dgm:presLayoutVars>
          <dgm:hierBranch val="init"/>
        </dgm:presLayoutVars>
      </dgm:prSet>
      <dgm:spPr/>
    </dgm:pt>
    <dgm:pt modelId="{8E9F393D-60FA-4AB8-A1C1-57A35151A49C}" type="pres">
      <dgm:prSet presAssocID="{877A7026-225C-42CF-8244-38BBD63ABD5F}" presName="rootComposite3" presStyleCnt="0"/>
      <dgm:spPr/>
    </dgm:pt>
    <dgm:pt modelId="{E8FB6489-229A-405F-B0C0-3A92305392BD}" type="pres">
      <dgm:prSet presAssocID="{877A7026-225C-42CF-8244-38BBD63ABD5F}" presName="rootText3" presStyleLbl="asst1" presStyleIdx="1" presStyleCnt="2" custScaleX="74726" custScaleY="92782">
        <dgm:presLayoutVars>
          <dgm:chPref val="3"/>
        </dgm:presLayoutVars>
      </dgm:prSet>
      <dgm:spPr>
        <a:prstGeom prst="rect">
          <a:avLst/>
        </a:prstGeom>
      </dgm:spPr>
      <dgm:t>
        <a:bodyPr/>
        <a:lstStyle/>
        <a:p>
          <a:endParaRPr lang="tr-TR"/>
        </a:p>
      </dgm:t>
    </dgm:pt>
    <dgm:pt modelId="{28FC262F-25D1-441A-BD4B-446F174C9CDB}" type="pres">
      <dgm:prSet presAssocID="{877A7026-225C-42CF-8244-38BBD63ABD5F}" presName="rootConnector3" presStyleLbl="asst1" presStyleIdx="1" presStyleCnt="2"/>
      <dgm:spPr/>
      <dgm:t>
        <a:bodyPr/>
        <a:lstStyle/>
        <a:p>
          <a:endParaRPr lang="tr-TR"/>
        </a:p>
      </dgm:t>
    </dgm:pt>
    <dgm:pt modelId="{3AC4DE0B-D9D9-4596-9C4D-12B9C410E2A4}" type="pres">
      <dgm:prSet presAssocID="{877A7026-225C-42CF-8244-38BBD63ABD5F}" presName="hierChild6" presStyleCnt="0"/>
      <dgm:spPr/>
    </dgm:pt>
    <dgm:pt modelId="{551B2737-E69F-404C-AB15-5EBFCFE8DCB9}" type="pres">
      <dgm:prSet presAssocID="{877A7026-225C-42CF-8244-38BBD63ABD5F}" presName="hierChild7" presStyleCnt="0"/>
      <dgm:spPr/>
    </dgm:pt>
  </dgm:ptLst>
  <dgm:cxnLst>
    <dgm:cxn modelId="{B5620AD8-CBB3-4021-A8F3-EDA03F6C9E78}" type="presOf" srcId="{BF490DE1-27E6-44F8-9B04-E87BA000A5DC}" destId="{872D25D9-93E5-486E-AA45-4CE52D4D9410}" srcOrd="0" destOrd="0" presId="urn:microsoft.com/office/officeart/2005/8/layout/orgChart1"/>
    <dgm:cxn modelId="{ED58D7A8-5D9D-4948-B51C-B8ACD43A81E4}" type="presOf" srcId="{877A7026-225C-42CF-8244-38BBD63ABD5F}" destId="{28FC262F-25D1-441A-BD4B-446F174C9CDB}" srcOrd="1" destOrd="0" presId="urn:microsoft.com/office/officeart/2005/8/layout/orgChart1"/>
    <dgm:cxn modelId="{01A7B304-B24E-4F97-A05E-A58E8D991C06}" type="presOf" srcId="{877A7026-225C-42CF-8244-38BBD63ABD5F}" destId="{E8FB6489-229A-405F-B0C0-3A92305392BD}" srcOrd="0" destOrd="0" presId="urn:microsoft.com/office/officeart/2005/8/layout/orgChart1"/>
    <dgm:cxn modelId="{60D3ADEF-6774-4B7D-9665-18D9DCD383AA}" type="presOf" srcId="{5FA989B7-4152-4DC2-825C-7C75F76333E5}" destId="{DF810076-6C32-4B27-93C9-558012EFEAFB}" srcOrd="0" destOrd="0" presId="urn:microsoft.com/office/officeart/2005/8/layout/orgChart1"/>
    <dgm:cxn modelId="{CD639507-ACF1-4D7F-9AF6-883396F22183}" type="presOf" srcId="{0785AA2D-8D5F-4F56-B135-1EA2FD023DC3}" destId="{6083038D-E50F-4675-B03E-F897BD2A0A15}" srcOrd="0" destOrd="0" presId="urn:microsoft.com/office/officeart/2005/8/layout/orgChart1"/>
    <dgm:cxn modelId="{BB9D495B-D10C-4C32-B816-A0F60F35D4E6}" srcId="{0FB35C6B-8540-491D-9A2C-6E4DD0A4A4E9}" destId="{877A7026-225C-42CF-8244-38BBD63ABD5F}" srcOrd="1" destOrd="0" parTransId="{BF490DE1-27E6-44F8-9B04-E87BA000A5DC}" sibTransId="{46059B3D-E2A3-4216-A2C8-0D6A0F5282BF}"/>
    <dgm:cxn modelId="{02F391DA-66C4-4567-B2C4-2556AEBF5EE7}" srcId="{5FA989B7-4152-4DC2-825C-7C75F76333E5}" destId="{0FB35C6B-8540-491D-9A2C-6E4DD0A4A4E9}" srcOrd="0" destOrd="0" parTransId="{38410372-B349-44DD-A811-4F8C65D06309}" sibTransId="{D313B6F6-347D-4331-AA4F-561881C70754}"/>
    <dgm:cxn modelId="{8B0640FE-DA8A-4F0A-ABA7-8BC3869A5DB6}" type="presOf" srcId="{0FB35C6B-8540-491D-9A2C-6E4DD0A4A4E9}" destId="{3FF748E3-24D9-449E-8AF8-5F40DCFE77F5}" srcOrd="1" destOrd="0" presId="urn:microsoft.com/office/officeart/2005/8/layout/orgChart1"/>
    <dgm:cxn modelId="{E35E7647-124D-459B-9763-999CEA70474D}" type="presOf" srcId="{DA476145-8CAB-4797-B92B-309E0EE9BA24}" destId="{89799D56-CE9F-4277-AA7F-8C156421FF5D}" srcOrd="1" destOrd="0" presId="urn:microsoft.com/office/officeart/2005/8/layout/orgChart1"/>
    <dgm:cxn modelId="{3BC508CD-2339-431F-946B-34D393B158C6}" type="presOf" srcId="{0FB35C6B-8540-491D-9A2C-6E4DD0A4A4E9}" destId="{BB510EF6-5EF2-4498-B0A5-5EC5D3BE3B70}" srcOrd="0" destOrd="0" presId="urn:microsoft.com/office/officeart/2005/8/layout/orgChart1"/>
    <dgm:cxn modelId="{7CF0F425-29E7-4027-A344-3863D134E338}" type="presOf" srcId="{DA476145-8CAB-4797-B92B-309E0EE9BA24}" destId="{87A72D79-117D-40CB-B84C-4428FEC16AD0}" srcOrd="0" destOrd="0" presId="urn:microsoft.com/office/officeart/2005/8/layout/orgChart1"/>
    <dgm:cxn modelId="{B3198501-14E0-476E-8F4D-838C08BAC629}" srcId="{0FB35C6B-8540-491D-9A2C-6E4DD0A4A4E9}" destId="{DA476145-8CAB-4797-B92B-309E0EE9BA24}" srcOrd="0" destOrd="0" parTransId="{0785AA2D-8D5F-4F56-B135-1EA2FD023DC3}" sibTransId="{753A5414-DDA5-4924-AE13-A8462E229EE7}"/>
    <dgm:cxn modelId="{02E4EEF9-54AE-45DD-B219-DC114F9BB937}" type="presParOf" srcId="{DF810076-6C32-4B27-93C9-558012EFEAFB}" destId="{1FFAE1A8-99C5-476C-97BD-401DC2F7B6AC}" srcOrd="0" destOrd="0" presId="urn:microsoft.com/office/officeart/2005/8/layout/orgChart1"/>
    <dgm:cxn modelId="{72EB0F55-8E4A-4EAB-A9AF-3B1373F7BBDB}" type="presParOf" srcId="{1FFAE1A8-99C5-476C-97BD-401DC2F7B6AC}" destId="{25E7A632-8AF9-4A4D-8E59-8E255F4B5B53}" srcOrd="0" destOrd="0" presId="urn:microsoft.com/office/officeart/2005/8/layout/orgChart1"/>
    <dgm:cxn modelId="{8ED8709A-DF33-4B91-BB4B-01D4C216FC56}" type="presParOf" srcId="{25E7A632-8AF9-4A4D-8E59-8E255F4B5B53}" destId="{BB510EF6-5EF2-4498-B0A5-5EC5D3BE3B70}" srcOrd="0" destOrd="0" presId="urn:microsoft.com/office/officeart/2005/8/layout/orgChart1"/>
    <dgm:cxn modelId="{92EC47F2-D5C0-4E88-A46B-A4009EB791C6}" type="presParOf" srcId="{25E7A632-8AF9-4A4D-8E59-8E255F4B5B53}" destId="{3FF748E3-24D9-449E-8AF8-5F40DCFE77F5}" srcOrd="1" destOrd="0" presId="urn:microsoft.com/office/officeart/2005/8/layout/orgChart1"/>
    <dgm:cxn modelId="{089C061B-7BC6-4B1A-8AD6-ED064CD67B84}" type="presParOf" srcId="{1FFAE1A8-99C5-476C-97BD-401DC2F7B6AC}" destId="{51444113-FAF6-4EAC-9736-6913633DE33B}" srcOrd="1" destOrd="0" presId="urn:microsoft.com/office/officeart/2005/8/layout/orgChart1"/>
    <dgm:cxn modelId="{BD3B6961-A036-4B8B-B343-467F34F2F768}" type="presParOf" srcId="{1FFAE1A8-99C5-476C-97BD-401DC2F7B6AC}" destId="{5931C09C-6D63-4EA9-98E7-6E693CFDDDD7}" srcOrd="2" destOrd="0" presId="urn:microsoft.com/office/officeart/2005/8/layout/orgChart1"/>
    <dgm:cxn modelId="{800B4E70-C332-4A03-B610-FFF71BECD32B}" type="presParOf" srcId="{5931C09C-6D63-4EA9-98E7-6E693CFDDDD7}" destId="{6083038D-E50F-4675-B03E-F897BD2A0A15}" srcOrd="0" destOrd="0" presId="urn:microsoft.com/office/officeart/2005/8/layout/orgChart1"/>
    <dgm:cxn modelId="{E8604811-1BB2-4488-B25D-AD2612846D67}" type="presParOf" srcId="{5931C09C-6D63-4EA9-98E7-6E693CFDDDD7}" destId="{1A3A067E-07D8-4E4F-94BA-425D40154DC8}" srcOrd="1" destOrd="0" presId="urn:microsoft.com/office/officeart/2005/8/layout/orgChart1"/>
    <dgm:cxn modelId="{D695E138-99BB-467A-84AE-93422798C905}" type="presParOf" srcId="{1A3A067E-07D8-4E4F-94BA-425D40154DC8}" destId="{429C289A-E31E-45E0-BEA6-08F4175824BC}" srcOrd="0" destOrd="0" presId="urn:microsoft.com/office/officeart/2005/8/layout/orgChart1"/>
    <dgm:cxn modelId="{C2B557B7-3685-4436-B473-56392A913034}" type="presParOf" srcId="{429C289A-E31E-45E0-BEA6-08F4175824BC}" destId="{87A72D79-117D-40CB-B84C-4428FEC16AD0}" srcOrd="0" destOrd="0" presId="urn:microsoft.com/office/officeart/2005/8/layout/orgChart1"/>
    <dgm:cxn modelId="{EB52B8EE-8E4B-48C5-B23B-E7AD865DD03C}" type="presParOf" srcId="{429C289A-E31E-45E0-BEA6-08F4175824BC}" destId="{89799D56-CE9F-4277-AA7F-8C156421FF5D}" srcOrd="1" destOrd="0" presId="urn:microsoft.com/office/officeart/2005/8/layout/orgChart1"/>
    <dgm:cxn modelId="{78B8D501-851C-4487-AC77-F3C404FDB5DD}" type="presParOf" srcId="{1A3A067E-07D8-4E4F-94BA-425D40154DC8}" destId="{0BF8B86B-7905-481F-A13A-B4D8875FDC98}" srcOrd="1" destOrd="0" presId="urn:microsoft.com/office/officeart/2005/8/layout/orgChart1"/>
    <dgm:cxn modelId="{9D5F7CF2-A395-46F6-821E-465B8A49AB2B}" type="presParOf" srcId="{1A3A067E-07D8-4E4F-94BA-425D40154DC8}" destId="{F304D03C-6A5D-41DD-9CDB-A2C9DEA59AE1}" srcOrd="2" destOrd="0" presId="urn:microsoft.com/office/officeart/2005/8/layout/orgChart1"/>
    <dgm:cxn modelId="{90811206-162A-4414-A916-35E6C8464353}" type="presParOf" srcId="{5931C09C-6D63-4EA9-98E7-6E693CFDDDD7}" destId="{872D25D9-93E5-486E-AA45-4CE52D4D9410}" srcOrd="2" destOrd="0" presId="urn:microsoft.com/office/officeart/2005/8/layout/orgChart1"/>
    <dgm:cxn modelId="{69363C77-0534-4618-99F5-4F1529B87C69}" type="presParOf" srcId="{5931C09C-6D63-4EA9-98E7-6E693CFDDDD7}" destId="{05BA131A-3021-4458-869A-50CE660EAE79}" srcOrd="3" destOrd="0" presId="urn:microsoft.com/office/officeart/2005/8/layout/orgChart1"/>
    <dgm:cxn modelId="{C58AD8BC-96FF-499F-AC18-CDFE8E308BE4}" type="presParOf" srcId="{05BA131A-3021-4458-869A-50CE660EAE79}" destId="{8E9F393D-60FA-4AB8-A1C1-57A35151A49C}" srcOrd="0" destOrd="0" presId="urn:microsoft.com/office/officeart/2005/8/layout/orgChart1"/>
    <dgm:cxn modelId="{C886B9E7-BF0D-41DA-A77F-81D41ED7E970}" type="presParOf" srcId="{8E9F393D-60FA-4AB8-A1C1-57A35151A49C}" destId="{E8FB6489-229A-405F-B0C0-3A92305392BD}" srcOrd="0" destOrd="0" presId="urn:microsoft.com/office/officeart/2005/8/layout/orgChart1"/>
    <dgm:cxn modelId="{8F2153D2-8514-466D-81CE-214A80ABDD62}" type="presParOf" srcId="{8E9F393D-60FA-4AB8-A1C1-57A35151A49C}" destId="{28FC262F-25D1-441A-BD4B-446F174C9CDB}" srcOrd="1" destOrd="0" presId="urn:microsoft.com/office/officeart/2005/8/layout/orgChart1"/>
    <dgm:cxn modelId="{51586DD4-E7EE-429A-B9C3-44DB1061CB72}" type="presParOf" srcId="{05BA131A-3021-4458-869A-50CE660EAE79}" destId="{3AC4DE0B-D9D9-4596-9C4D-12B9C410E2A4}" srcOrd="1" destOrd="0" presId="urn:microsoft.com/office/officeart/2005/8/layout/orgChart1"/>
    <dgm:cxn modelId="{011DBA18-1557-4169-B152-A800D6FCACC8}" type="presParOf" srcId="{05BA131A-3021-4458-869A-50CE660EAE79}" destId="{551B2737-E69F-404C-AB15-5EBFCFE8DCB9}"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2D25D9-93E5-486E-AA45-4CE52D4D9410}">
      <dsp:nvSpPr>
        <dsp:cNvPr id="0" name=""/>
        <dsp:cNvSpPr/>
      </dsp:nvSpPr>
      <dsp:spPr>
        <a:xfrm>
          <a:off x="1029408" y="799235"/>
          <a:ext cx="237139" cy="471471"/>
        </a:xfrm>
        <a:custGeom>
          <a:avLst/>
          <a:gdLst/>
          <a:ahLst/>
          <a:cxnLst/>
          <a:rect l="0" t="0" r="0" b="0"/>
          <a:pathLst>
            <a:path>
              <a:moveTo>
                <a:pt x="0" y="0"/>
              </a:moveTo>
              <a:lnTo>
                <a:pt x="0" y="580426"/>
              </a:lnTo>
              <a:lnTo>
                <a:pt x="291941" y="58042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083038D-E50F-4675-B03E-F897BD2A0A15}">
      <dsp:nvSpPr>
        <dsp:cNvPr id="0" name=""/>
        <dsp:cNvSpPr/>
      </dsp:nvSpPr>
      <dsp:spPr>
        <a:xfrm>
          <a:off x="842469" y="799235"/>
          <a:ext cx="186938" cy="499133"/>
        </a:xfrm>
        <a:custGeom>
          <a:avLst/>
          <a:gdLst/>
          <a:ahLst/>
          <a:cxnLst/>
          <a:rect l="0" t="0" r="0" b="0"/>
          <a:pathLst>
            <a:path>
              <a:moveTo>
                <a:pt x="132488" y="0"/>
              </a:moveTo>
              <a:lnTo>
                <a:pt x="132488" y="580426"/>
              </a:lnTo>
              <a:lnTo>
                <a:pt x="0" y="58042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B510EF6-5EF2-4498-B0A5-5EC5D3BE3B70}">
      <dsp:nvSpPr>
        <dsp:cNvPr id="0" name=""/>
        <dsp:cNvSpPr/>
      </dsp:nvSpPr>
      <dsp:spPr>
        <a:xfrm>
          <a:off x="438372" y="496"/>
          <a:ext cx="1182070" cy="79873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Düzensiz Depolama alanı</a:t>
          </a:r>
        </a:p>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(Kapatılmadan Önce )</a:t>
          </a:r>
        </a:p>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(2010’a kadar)</a:t>
          </a:r>
          <a:r>
            <a:rPr lang="tr-TR" sz="600" kern="1200" baseline="30000" smtClean="0">
              <a:solidFill>
                <a:sysClr val="window" lastClr="FFFFFF"/>
              </a:solidFill>
              <a:latin typeface="Arial"/>
              <a:ea typeface="+mn-ea"/>
              <a:cs typeface="+mn-cs"/>
            </a:rPr>
            <a:t>*</a:t>
          </a:r>
        </a:p>
        <a:p>
          <a:pPr lvl="0" algn="ctr" defTabSz="266700">
            <a:lnSpc>
              <a:spcPct val="90000"/>
            </a:lnSpc>
            <a:spcBef>
              <a:spcPct val="0"/>
            </a:spcBef>
            <a:spcAft>
              <a:spcPct val="35000"/>
            </a:spcAft>
          </a:pPr>
          <a:endParaRPr lang="tr-TR" sz="600" kern="1200" baseline="0" smtClean="0">
            <a:solidFill>
              <a:sysClr val="window" lastClr="FFFFFF"/>
            </a:solidFill>
            <a:latin typeface="Arial"/>
            <a:ea typeface="+mn-ea"/>
            <a:cs typeface="+mn-cs"/>
          </a:endParaRPr>
        </a:p>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Oluşan Sızıntı Suyu</a:t>
          </a:r>
        </a:p>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(%100)</a:t>
          </a:r>
          <a:endParaRPr lang="tr-TR" sz="600" kern="1200">
            <a:solidFill>
              <a:sysClr val="window" lastClr="FFFFFF"/>
            </a:solidFill>
            <a:latin typeface="Calibri"/>
            <a:ea typeface="+mn-ea"/>
            <a:cs typeface="+mn-cs"/>
          </a:endParaRPr>
        </a:p>
      </dsp:txBody>
      <dsp:txXfrm>
        <a:off x="438372" y="496"/>
        <a:ext cx="1182070" cy="798738"/>
      </dsp:txXfrm>
    </dsp:sp>
    <dsp:sp modelId="{87A72D79-117D-40CB-B84C-4428FEC16AD0}">
      <dsp:nvSpPr>
        <dsp:cNvPr id="0" name=""/>
        <dsp:cNvSpPr/>
      </dsp:nvSpPr>
      <dsp:spPr>
        <a:xfrm>
          <a:off x="54692" y="1069301"/>
          <a:ext cx="787777" cy="4581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Noktasal (toplanan) Sızıntı Suyu</a:t>
          </a: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(%0)</a:t>
          </a:r>
          <a:endParaRPr lang="tr-TR" sz="600" kern="1200">
            <a:solidFill>
              <a:sysClr val="window" lastClr="FFFFFF"/>
            </a:solidFill>
            <a:latin typeface="Calibri"/>
            <a:ea typeface="+mn-ea"/>
            <a:cs typeface="+mn-cs"/>
          </a:endParaRPr>
        </a:p>
      </dsp:txBody>
      <dsp:txXfrm>
        <a:off x="54692" y="1069301"/>
        <a:ext cx="787777" cy="458136"/>
      </dsp:txXfrm>
    </dsp:sp>
    <dsp:sp modelId="{E8FB6489-229A-405F-B0C0-3A92305392BD}">
      <dsp:nvSpPr>
        <dsp:cNvPr id="0" name=""/>
        <dsp:cNvSpPr/>
      </dsp:nvSpPr>
      <dsp:spPr>
        <a:xfrm>
          <a:off x="1266547" y="1032967"/>
          <a:ext cx="765894" cy="475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Yayılı Kaynak</a:t>
          </a: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(%100)</a:t>
          </a:r>
          <a:endParaRPr lang="tr-TR" sz="600" kern="1200">
            <a:solidFill>
              <a:sysClr val="window" lastClr="FFFFFF"/>
            </a:solidFill>
            <a:latin typeface="Calibri"/>
            <a:ea typeface="+mn-ea"/>
            <a:cs typeface="+mn-cs"/>
          </a:endParaRPr>
        </a:p>
      </dsp:txBody>
      <dsp:txXfrm>
        <a:off x="1266547" y="1032967"/>
        <a:ext cx="765894" cy="4754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2D25D9-93E5-486E-AA45-4CE52D4D9410}">
      <dsp:nvSpPr>
        <dsp:cNvPr id="0" name=""/>
        <dsp:cNvSpPr/>
      </dsp:nvSpPr>
      <dsp:spPr>
        <a:xfrm>
          <a:off x="1052224" y="732238"/>
          <a:ext cx="245923" cy="488935"/>
        </a:xfrm>
        <a:custGeom>
          <a:avLst/>
          <a:gdLst/>
          <a:ahLst/>
          <a:cxnLst/>
          <a:rect l="0" t="0" r="0" b="0"/>
          <a:pathLst>
            <a:path>
              <a:moveTo>
                <a:pt x="0" y="0"/>
              </a:moveTo>
              <a:lnTo>
                <a:pt x="0" y="580426"/>
              </a:lnTo>
              <a:lnTo>
                <a:pt x="291941" y="58042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083038D-E50F-4675-B03E-F897BD2A0A15}">
      <dsp:nvSpPr>
        <dsp:cNvPr id="0" name=""/>
        <dsp:cNvSpPr/>
      </dsp:nvSpPr>
      <dsp:spPr>
        <a:xfrm>
          <a:off x="866938" y="732238"/>
          <a:ext cx="185285" cy="509029"/>
        </a:xfrm>
        <a:custGeom>
          <a:avLst/>
          <a:gdLst/>
          <a:ahLst/>
          <a:cxnLst/>
          <a:rect l="0" t="0" r="0" b="0"/>
          <a:pathLst>
            <a:path>
              <a:moveTo>
                <a:pt x="132488" y="0"/>
              </a:moveTo>
              <a:lnTo>
                <a:pt x="132488" y="580426"/>
              </a:lnTo>
              <a:lnTo>
                <a:pt x="0" y="58042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B510EF6-5EF2-4498-B0A5-5EC5D3BE3B70}">
      <dsp:nvSpPr>
        <dsp:cNvPr id="0" name=""/>
        <dsp:cNvSpPr/>
      </dsp:nvSpPr>
      <dsp:spPr>
        <a:xfrm>
          <a:off x="439295" y="37099"/>
          <a:ext cx="1225857" cy="69513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Rehabilite Edilmiş</a:t>
          </a:r>
        </a:p>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(Kapatıldıktan Sonra) </a:t>
          </a: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(2010</a:t>
          </a:r>
          <a:r>
            <a:rPr lang="tr-TR" sz="600" kern="1200" baseline="30000" smtClean="0">
              <a:solidFill>
                <a:sysClr val="window" lastClr="FFFFFF"/>
              </a:solidFill>
              <a:latin typeface="Arial"/>
              <a:ea typeface="+mn-ea"/>
              <a:cs typeface="+mn-cs"/>
            </a:rPr>
            <a:t>*</a:t>
          </a:r>
          <a:r>
            <a:rPr lang="tr-TR" sz="600" kern="1200" baseline="0" smtClean="0">
              <a:solidFill>
                <a:sysClr val="window" lastClr="FFFFFF"/>
              </a:solidFill>
              <a:latin typeface="Arial"/>
              <a:ea typeface="+mn-ea"/>
              <a:cs typeface="+mn-cs"/>
            </a:rPr>
            <a:t>-2040)</a:t>
          </a:r>
        </a:p>
        <a:p>
          <a:pPr lvl="0" algn="ctr" defTabSz="266700" rtl="0">
            <a:lnSpc>
              <a:spcPct val="90000"/>
            </a:lnSpc>
            <a:spcBef>
              <a:spcPct val="0"/>
            </a:spcBef>
            <a:spcAft>
              <a:spcPct val="35000"/>
            </a:spcAft>
          </a:pPr>
          <a:endParaRPr lang="tr-TR" sz="600" kern="1200" baseline="0" smtClean="0">
            <a:solidFill>
              <a:sysClr val="window" lastClr="FFFFFF"/>
            </a:solidFill>
            <a:latin typeface="Arial"/>
            <a:ea typeface="+mn-ea"/>
            <a:cs typeface="+mn-cs"/>
          </a:endParaRP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Oluşan Sızıntı Suyu</a:t>
          </a: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(%35)</a:t>
          </a:r>
          <a:endParaRPr lang="tr-TR" sz="600" kern="1200">
            <a:solidFill>
              <a:sysClr val="window" lastClr="FFFFFF"/>
            </a:solidFill>
            <a:latin typeface="Calibri"/>
            <a:ea typeface="+mn-ea"/>
            <a:cs typeface="+mn-cs"/>
          </a:endParaRPr>
        </a:p>
      </dsp:txBody>
      <dsp:txXfrm>
        <a:off x="439295" y="37099"/>
        <a:ext cx="1225857" cy="695138"/>
      </dsp:txXfrm>
    </dsp:sp>
    <dsp:sp modelId="{87A72D79-117D-40CB-B84C-4428FEC16AD0}">
      <dsp:nvSpPr>
        <dsp:cNvPr id="0" name=""/>
        <dsp:cNvSpPr/>
      </dsp:nvSpPr>
      <dsp:spPr>
        <a:xfrm>
          <a:off x="49980" y="1003714"/>
          <a:ext cx="816958" cy="47510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Noktasal (toplanan) Sızıntı Suyu</a:t>
          </a: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(%17,5)</a:t>
          </a:r>
          <a:endParaRPr lang="tr-TR" sz="600" kern="1200">
            <a:solidFill>
              <a:sysClr val="window" lastClr="FFFFFF"/>
            </a:solidFill>
            <a:latin typeface="Calibri"/>
            <a:ea typeface="+mn-ea"/>
            <a:cs typeface="+mn-cs"/>
          </a:endParaRPr>
        </a:p>
      </dsp:txBody>
      <dsp:txXfrm>
        <a:off x="49980" y="1003714"/>
        <a:ext cx="816958" cy="475107"/>
      </dsp:txXfrm>
    </dsp:sp>
    <dsp:sp modelId="{E8FB6489-229A-405F-B0C0-3A92305392BD}">
      <dsp:nvSpPr>
        <dsp:cNvPr id="0" name=""/>
        <dsp:cNvSpPr/>
      </dsp:nvSpPr>
      <dsp:spPr>
        <a:xfrm>
          <a:off x="1298148" y="974628"/>
          <a:ext cx="794265" cy="4930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Yayılı Kaynak</a:t>
          </a: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(%17,5)</a:t>
          </a:r>
          <a:endParaRPr lang="tr-TR" sz="600" kern="1200">
            <a:solidFill>
              <a:sysClr val="window" lastClr="FFFFFF"/>
            </a:solidFill>
            <a:latin typeface="Calibri"/>
            <a:ea typeface="+mn-ea"/>
            <a:cs typeface="+mn-cs"/>
          </a:endParaRPr>
        </a:p>
      </dsp:txBody>
      <dsp:txXfrm>
        <a:off x="1298148" y="974628"/>
        <a:ext cx="794265" cy="4930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2D25D9-93E5-486E-AA45-4CE52D4D9410}">
      <dsp:nvSpPr>
        <dsp:cNvPr id="0" name=""/>
        <dsp:cNvSpPr/>
      </dsp:nvSpPr>
      <dsp:spPr>
        <a:xfrm>
          <a:off x="1052224" y="732238"/>
          <a:ext cx="245923" cy="488935"/>
        </a:xfrm>
        <a:custGeom>
          <a:avLst/>
          <a:gdLst/>
          <a:ahLst/>
          <a:cxnLst/>
          <a:rect l="0" t="0" r="0" b="0"/>
          <a:pathLst>
            <a:path>
              <a:moveTo>
                <a:pt x="0" y="0"/>
              </a:moveTo>
              <a:lnTo>
                <a:pt x="0" y="580426"/>
              </a:lnTo>
              <a:lnTo>
                <a:pt x="291941" y="58042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083038D-E50F-4675-B03E-F897BD2A0A15}">
      <dsp:nvSpPr>
        <dsp:cNvPr id="0" name=""/>
        <dsp:cNvSpPr/>
      </dsp:nvSpPr>
      <dsp:spPr>
        <a:xfrm>
          <a:off x="866938" y="732238"/>
          <a:ext cx="185285" cy="509029"/>
        </a:xfrm>
        <a:custGeom>
          <a:avLst/>
          <a:gdLst/>
          <a:ahLst/>
          <a:cxnLst/>
          <a:rect l="0" t="0" r="0" b="0"/>
          <a:pathLst>
            <a:path>
              <a:moveTo>
                <a:pt x="132488" y="0"/>
              </a:moveTo>
              <a:lnTo>
                <a:pt x="132488" y="580426"/>
              </a:lnTo>
              <a:lnTo>
                <a:pt x="0" y="58042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B510EF6-5EF2-4498-B0A5-5EC5D3BE3B70}">
      <dsp:nvSpPr>
        <dsp:cNvPr id="0" name=""/>
        <dsp:cNvSpPr/>
      </dsp:nvSpPr>
      <dsp:spPr>
        <a:xfrm>
          <a:off x="439295" y="37099"/>
          <a:ext cx="1225857" cy="69513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Düzenli  Depoalama Alanı veya İnşaası Planlanan Düz.Dep. Alanı</a:t>
          </a: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 (2010</a:t>
          </a:r>
          <a:r>
            <a:rPr lang="tr-TR" sz="600" kern="1200" baseline="30000" smtClean="0">
              <a:solidFill>
                <a:sysClr val="window" lastClr="FFFFFF"/>
              </a:solidFill>
              <a:latin typeface="Arial"/>
              <a:ea typeface="+mn-ea"/>
              <a:cs typeface="+mn-cs"/>
            </a:rPr>
            <a:t>*</a:t>
          </a:r>
          <a:r>
            <a:rPr lang="tr-TR" sz="600" kern="1200" baseline="0" smtClean="0">
              <a:solidFill>
                <a:sysClr val="window" lastClr="FFFFFF"/>
              </a:solidFill>
              <a:latin typeface="Arial"/>
              <a:ea typeface="+mn-ea"/>
              <a:cs typeface="+mn-cs"/>
            </a:rPr>
            <a:t>-2040)</a:t>
          </a:r>
        </a:p>
        <a:p>
          <a:pPr lvl="0" algn="ctr" defTabSz="266700" rtl="0">
            <a:lnSpc>
              <a:spcPct val="90000"/>
            </a:lnSpc>
            <a:spcBef>
              <a:spcPct val="0"/>
            </a:spcBef>
            <a:spcAft>
              <a:spcPct val="35000"/>
            </a:spcAft>
          </a:pPr>
          <a:endParaRPr lang="tr-TR" sz="600" kern="1200" baseline="0" smtClean="0">
            <a:solidFill>
              <a:sysClr val="window" lastClr="FFFFFF"/>
            </a:solidFill>
            <a:latin typeface="Arial"/>
            <a:ea typeface="+mn-ea"/>
            <a:cs typeface="+mn-cs"/>
          </a:endParaRP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Oluşan Sızıntı Suyu</a:t>
          </a: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(%100)</a:t>
          </a:r>
          <a:endParaRPr lang="tr-TR" sz="600" kern="1200">
            <a:solidFill>
              <a:sysClr val="window" lastClr="FFFFFF"/>
            </a:solidFill>
            <a:latin typeface="Calibri"/>
            <a:ea typeface="+mn-ea"/>
            <a:cs typeface="+mn-cs"/>
          </a:endParaRPr>
        </a:p>
      </dsp:txBody>
      <dsp:txXfrm>
        <a:off x="439295" y="37099"/>
        <a:ext cx="1225857" cy="695138"/>
      </dsp:txXfrm>
    </dsp:sp>
    <dsp:sp modelId="{87A72D79-117D-40CB-B84C-4428FEC16AD0}">
      <dsp:nvSpPr>
        <dsp:cNvPr id="0" name=""/>
        <dsp:cNvSpPr/>
      </dsp:nvSpPr>
      <dsp:spPr>
        <a:xfrm>
          <a:off x="49980" y="1003714"/>
          <a:ext cx="816958" cy="47510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baseline="0" smtClean="0">
              <a:solidFill>
                <a:sysClr val="window" lastClr="FFFFFF"/>
              </a:solidFill>
              <a:latin typeface="Arial"/>
              <a:ea typeface="+mn-ea"/>
              <a:cs typeface="+mn-cs"/>
            </a:rPr>
            <a:t>Noktasal (toplanan) Sızıntı Suyu</a:t>
          </a: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(%100)</a:t>
          </a:r>
          <a:endParaRPr lang="tr-TR" sz="600" kern="1200">
            <a:solidFill>
              <a:sysClr val="window" lastClr="FFFFFF"/>
            </a:solidFill>
            <a:latin typeface="Calibri"/>
            <a:ea typeface="+mn-ea"/>
            <a:cs typeface="+mn-cs"/>
          </a:endParaRPr>
        </a:p>
      </dsp:txBody>
      <dsp:txXfrm>
        <a:off x="49980" y="1003714"/>
        <a:ext cx="816958" cy="475107"/>
      </dsp:txXfrm>
    </dsp:sp>
    <dsp:sp modelId="{E8FB6489-229A-405F-B0C0-3A92305392BD}">
      <dsp:nvSpPr>
        <dsp:cNvPr id="0" name=""/>
        <dsp:cNvSpPr/>
      </dsp:nvSpPr>
      <dsp:spPr>
        <a:xfrm>
          <a:off x="1298148" y="974628"/>
          <a:ext cx="794265" cy="4930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Yayılı Kaynak</a:t>
          </a:r>
        </a:p>
        <a:p>
          <a:pPr lvl="0" algn="ctr" defTabSz="266700" rtl="0">
            <a:lnSpc>
              <a:spcPct val="90000"/>
            </a:lnSpc>
            <a:spcBef>
              <a:spcPct val="0"/>
            </a:spcBef>
            <a:spcAft>
              <a:spcPct val="35000"/>
            </a:spcAft>
          </a:pPr>
          <a:r>
            <a:rPr lang="tr-TR" sz="600" kern="1200" baseline="0" smtClean="0">
              <a:solidFill>
                <a:sysClr val="window" lastClr="FFFFFF"/>
              </a:solidFill>
              <a:latin typeface="Arial"/>
              <a:ea typeface="+mn-ea"/>
              <a:cs typeface="+mn-cs"/>
            </a:rPr>
            <a:t>(%0)</a:t>
          </a:r>
          <a:endParaRPr lang="tr-TR" sz="600" kern="1200">
            <a:solidFill>
              <a:sysClr val="window" lastClr="FFFFFF"/>
            </a:solidFill>
            <a:latin typeface="Calibri"/>
            <a:ea typeface="+mn-ea"/>
            <a:cs typeface="+mn-cs"/>
          </a:endParaRPr>
        </a:p>
      </dsp:txBody>
      <dsp:txXfrm>
        <a:off x="1298148" y="974628"/>
        <a:ext cx="794265" cy="4930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0.02889</cdr:x>
      <cdr:y>0.01075</cdr:y>
    </cdr:from>
    <cdr:to>
      <cdr:x>0.77889</cdr:x>
      <cdr:y>0.1045</cdr:y>
    </cdr:to>
    <cdr:sp macro="" textlink="">
      <cdr:nvSpPr>
        <cdr:cNvPr id="2" name="Metin kutusu 1"/>
        <cdr:cNvSpPr txBox="1"/>
      </cdr:nvSpPr>
      <cdr:spPr>
        <a:xfrm xmlns:a="http://schemas.openxmlformats.org/drawingml/2006/main">
          <a:off x="118856" y="30196"/>
          <a:ext cx="3086100" cy="263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000"/>
            <a:t>Nisan ve Haziran 2007 Örneklemelerinin </a:t>
          </a:r>
          <a:r>
            <a:rPr lang="tr-TR" sz="1000" b="1"/>
            <a:t>Maksimum</a:t>
          </a:r>
          <a:r>
            <a:rPr lang="tr-TR" sz="1000"/>
            <a:t> Değerleri, (µg/m</a:t>
          </a:r>
          <a:r>
            <a:rPr lang="tr-TR" sz="1000" baseline="30000"/>
            <a:t>3</a:t>
          </a:r>
          <a:r>
            <a:rPr lang="tr-TR" sz="10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0.04466</cdr:x>
      <cdr:y>0.01753</cdr:y>
    </cdr:from>
    <cdr:to>
      <cdr:x>0.97826</cdr:x>
      <cdr:y>0.11128</cdr:y>
    </cdr:to>
    <cdr:sp macro="" textlink="">
      <cdr:nvSpPr>
        <cdr:cNvPr id="2" name="Metin kutusu 1"/>
        <cdr:cNvSpPr txBox="1"/>
      </cdr:nvSpPr>
      <cdr:spPr>
        <a:xfrm xmlns:a="http://schemas.openxmlformats.org/drawingml/2006/main">
          <a:off x="176129" y="49257"/>
          <a:ext cx="3681496" cy="2634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000"/>
            <a:t>Nisan ve Haziran 2007 Örneklemelerinin </a:t>
          </a:r>
          <a:r>
            <a:rPr lang="tr-TR" sz="1000" b="1"/>
            <a:t>Minimum</a:t>
          </a:r>
          <a:r>
            <a:rPr lang="tr-TR" sz="1000"/>
            <a:t> Değerleri, (µg/m</a:t>
          </a:r>
          <a:r>
            <a:rPr lang="tr-TR" sz="1000" baseline="30000"/>
            <a:t>3</a:t>
          </a:r>
          <a:r>
            <a:rPr lang="tr-TR" sz="10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4AAE9-2B9A-42B3-825D-5A542A0F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72</Pages>
  <Words>25697</Words>
  <Characters>146477</Characters>
  <Application>Microsoft Office Word</Application>
  <DocSecurity>0</DocSecurity>
  <Lines>1220</Lines>
  <Paragraphs>343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171831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Gokhan</dc:creator>
  <cp:lastModifiedBy>Gokhan</cp:lastModifiedBy>
  <cp:revision>28</cp:revision>
  <dcterms:created xsi:type="dcterms:W3CDTF">2011-10-26T11:53:00Z</dcterms:created>
  <dcterms:modified xsi:type="dcterms:W3CDTF">2011-12-20T07:33:00Z</dcterms:modified>
</cp:coreProperties>
</file>